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CD" w:rsidRDefault="00041F6D" w:rsidP="007E6BCD">
      <w:pPr>
        <w:pStyle w:val="Zv-Titlereport"/>
        <w:rPr>
          <w:lang w:val="en-US"/>
        </w:rPr>
      </w:pPr>
      <w:r w:rsidRPr="00041F6D">
        <w:rPr>
          <w:noProof/>
          <w:lang w:val="en-US"/>
        </w:rPr>
        <w:pict>
          <v:shapetype id="_x0000_t202" coordsize="21600,21600" o:spt="202" path="m,l,21600r21600,l21600,xe">
            <v:stroke joinstyle="miter"/>
            <v:path gradientshapeok="t" o:connecttype="rect"/>
          </v:shapetype>
          <v:shape id="_x0000_s1029" type="#_x0000_t202" style="position:absolute;left:0;text-align:left;margin-left:-2.85pt;margin-top:-24.4pt;width:192pt;height:26.25pt;z-index:-251652096;mso-position-horizontal:absolute" stroked="f" strokecolor="red">
            <v:textbox style="mso-next-textbox:#_x0000_s1029">
              <w:txbxContent>
                <w:p w:rsidR="00CA41E1" w:rsidRPr="0095603D" w:rsidRDefault="00CA41E1" w:rsidP="003B6459">
                  <w:pPr>
                    <w:spacing w:before="80"/>
                    <w:rPr>
                      <w:sz w:val="22"/>
                      <w:szCs w:val="22"/>
                    </w:rPr>
                  </w:pPr>
                  <w:r w:rsidRPr="0095603D">
                    <w:rPr>
                      <w:sz w:val="22"/>
                      <w:szCs w:val="22"/>
                    </w:rPr>
                    <w:t>DOI:</w:t>
                  </w:r>
                  <w:r>
                    <w:rPr>
                      <w:sz w:val="22"/>
                      <w:szCs w:val="22"/>
                    </w:rPr>
                    <w:t xml:space="preserve"> </w:t>
                  </w:r>
                  <w:r w:rsidRPr="00CA41E1">
                    <w:rPr>
                      <w:sz w:val="22"/>
                      <w:szCs w:val="22"/>
                    </w:rPr>
                    <w:t>10.34854/ICPAF.2021.48.1.146</w:t>
                  </w:r>
                </w:p>
              </w:txbxContent>
            </v:textbox>
            <w10:anchorlock/>
          </v:shape>
        </w:pict>
      </w:r>
      <w:r w:rsidR="007E6BCD">
        <w:rPr>
          <w:lang w:val="en-US"/>
        </w:rPr>
        <w:t>GENERATION OF IONS IN A MULTICOMPONENT PLASMA OF THE ACCELERATOR WITH CLOSED ELECTRON DRIFT</w:t>
      </w:r>
      <w:r w:rsidR="00CA41E1">
        <w:rPr>
          <w:lang w:val="en-US"/>
        </w:rPr>
        <w:t xml:space="preserve"> </w:t>
      </w:r>
      <w:r w:rsidR="00CA41E1">
        <w:rPr>
          <w:rStyle w:val="ad"/>
          <w:lang w:val="en-US"/>
        </w:rPr>
        <w:footnoteReference w:customMarkFollows="1" w:id="1"/>
        <w:t>*)</w:t>
      </w:r>
    </w:p>
    <w:p w:rsidR="007E6BCD" w:rsidRDefault="007E6BCD" w:rsidP="007E6BCD">
      <w:pPr>
        <w:pStyle w:val="Zv-Author"/>
        <w:rPr>
          <w:lang w:val="en-US"/>
        </w:rPr>
      </w:pPr>
      <w:r w:rsidRPr="007E6BCD">
        <w:rPr>
          <w:vertAlign w:val="superscript"/>
          <w:lang w:val="en-US"/>
        </w:rPr>
        <w:t>1</w:t>
      </w:r>
      <w:r>
        <w:rPr>
          <w:u w:val="single"/>
          <w:lang w:val="en-US"/>
        </w:rPr>
        <w:t>Strokin N.A.</w:t>
      </w:r>
      <w:r>
        <w:rPr>
          <w:lang w:val="en-US"/>
        </w:rPr>
        <w:t xml:space="preserve">, </w:t>
      </w:r>
      <w:r w:rsidRPr="007E6BCD">
        <w:rPr>
          <w:vertAlign w:val="superscript"/>
          <w:lang w:val="en-US"/>
        </w:rPr>
        <w:t>1</w:t>
      </w:r>
      <w:r>
        <w:rPr>
          <w:lang w:val="en-US"/>
        </w:rPr>
        <w:t>Kazantsev A.V</w:t>
      </w:r>
      <w:r w:rsidR="00770692">
        <w:rPr>
          <w:lang w:val="en-US"/>
        </w:rPr>
        <w:t>.</w:t>
      </w:r>
      <w:r>
        <w:rPr>
          <w:lang w:val="en-US"/>
        </w:rPr>
        <w:t xml:space="preserve">, </w:t>
      </w:r>
      <w:r w:rsidRPr="007E6BCD">
        <w:rPr>
          <w:vertAlign w:val="superscript"/>
          <w:lang w:val="en-US"/>
        </w:rPr>
        <w:t>2</w:t>
      </w:r>
      <w:r>
        <w:rPr>
          <w:lang w:val="en-US"/>
        </w:rPr>
        <w:t xml:space="preserve">Bardakov V.M., </w:t>
      </w:r>
      <w:r w:rsidRPr="007E6BCD">
        <w:rPr>
          <w:vertAlign w:val="superscript"/>
          <w:lang w:val="en-US"/>
        </w:rPr>
        <w:t>1</w:t>
      </w:r>
      <w:r>
        <w:rPr>
          <w:lang w:val="en-US"/>
        </w:rPr>
        <w:t xml:space="preserve">The Thang Nguyen, </w:t>
      </w:r>
      <w:r w:rsidRPr="007E6BCD">
        <w:rPr>
          <w:vertAlign w:val="superscript"/>
          <w:lang w:val="en-US"/>
        </w:rPr>
        <w:t>1</w:t>
      </w:r>
      <w:r>
        <w:rPr>
          <w:lang w:val="en-US"/>
        </w:rPr>
        <w:t>Rigin A.V.</w:t>
      </w:r>
    </w:p>
    <w:p w:rsidR="007E6BCD" w:rsidRDefault="007E6BCD" w:rsidP="007E6BCD">
      <w:pPr>
        <w:pStyle w:val="Zv-Organization"/>
        <w:rPr>
          <w:rStyle w:val="a7"/>
          <w:color w:val="auto"/>
          <w:u w:val="none"/>
          <w:lang w:val="en-US"/>
        </w:rPr>
      </w:pPr>
      <w:r w:rsidRPr="007E6BCD">
        <w:rPr>
          <w:vertAlign w:val="superscript"/>
          <w:lang w:val="en-US"/>
        </w:rPr>
        <w:t>1</w:t>
      </w:r>
      <w:r w:rsidRPr="007E6BCD">
        <w:rPr>
          <w:lang w:val="en-US"/>
        </w:rPr>
        <w:t xml:space="preserve">Irkutsk National Research Technical University </w:t>
      </w:r>
      <w:hyperlink r:id="rId8" w:history="1">
        <w:r w:rsidRPr="003B1252">
          <w:rPr>
            <w:rStyle w:val="a7"/>
            <w:lang w:val="en-US"/>
          </w:rPr>
          <w:t>strokin85@inbox.ru</w:t>
        </w:r>
      </w:hyperlink>
      <w:r w:rsidRPr="007E6BCD">
        <w:rPr>
          <w:lang w:val="en-US"/>
        </w:rPr>
        <w:t xml:space="preserve">, </w:t>
      </w:r>
      <w:hyperlink r:id="rId9" w:history="1">
        <w:r w:rsidRPr="003B1252">
          <w:rPr>
            <w:rStyle w:val="a7"/>
            <w:lang w:val="en-US"/>
          </w:rPr>
          <w:t>kazanets@gmail.com</w:t>
        </w:r>
      </w:hyperlink>
      <w:r w:rsidRPr="007E6BCD">
        <w:rPr>
          <w:lang w:val="en-US"/>
        </w:rPr>
        <w:t>,</w:t>
      </w:r>
      <w:r>
        <w:rPr>
          <w:lang w:val="en-US"/>
        </w:rPr>
        <w:br/>
        <w:t xml:space="preserve">    </w:t>
      </w:r>
      <w:r w:rsidRPr="007E6BCD">
        <w:rPr>
          <w:lang w:val="en-US"/>
        </w:rPr>
        <w:t xml:space="preserve"> </w:t>
      </w:r>
      <w:hyperlink r:id="rId10" w:history="1">
        <w:r w:rsidRPr="003B1252">
          <w:rPr>
            <w:rStyle w:val="a7"/>
            <w:lang w:val="en-US"/>
          </w:rPr>
          <w:t>nguen.tkhe@yandex.ru</w:t>
        </w:r>
      </w:hyperlink>
      <w:r w:rsidRPr="007E6BCD">
        <w:rPr>
          <w:lang w:val="en-US"/>
        </w:rPr>
        <w:t xml:space="preserve">, </w:t>
      </w:r>
      <w:hyperlink r:id="rId11" w:history="1">
        <w:r w:rsidR="00EC0B22" w:rsidRPr="003B1252">
          <w:rPr>
            <w:rStyle w:val="a7"/>
            <w:lang w:val="en-US"/>
          </w:rPr>
          <w:t>arseniy.rigin@mail.ru</w:t>
        </w:r>
      </w:hyperlink>
      <w:r w:rsidR="00EC0B22">
        <w:rPr>
          <w:lang w:val="en-US"/>
        </w:rPr>
        <w:br/>
      </w:r>
      <w:r w:rsidRPr="007E6BCD">
        <w:rPr>
          <w:vertAlign w:val="superscript"/>
          <w:lang w:val="en-US"/>
        </w:rPr>
        <w:t>2</w:t>
      </w:r>
      <w:r w:rsidRPr="007E6BCD">
        <w:rPr>
          <w:lang w:val="en-US"/>
        </w:rPr>
        <w:t xml:space="preserve">Irkutsk State Transport University </w:t>
      </w:r>
      <w:hyperlink r:id="rId12" w:history="1">
        <w:r w:rsidRPr="003B1252">
          <w:rPr>
            <w:rStyle w:val="a7"/>
            <w:lang w:val="en-US"/>
          </w:rPr>
          <w:t>vmbardakov38@mail.ru</w:t>
        </w:r>
      </w:hyperlink>
    </w:p>
    <w:p w:rsidR="007E6BCD" w:rsidRDefault="007E6BCD" w:rsidP="007E6BCD">
      <w:pPr>
        <w:pStyle w:val="Zv-bodyreport"/>
        <w:rPr>
          <w:lang w:val="en-US"/>
        </w:rPr>
      </w:pPr>
      <w:r w:rsidRPr="00DC1AF5">
        <w:rPr>
          <w:lang w:val="en-US"/>
        </w:rPr>
        <w:t>The successful continuation of work on creating a prototype of a plasma-optical mass separator largely depends on understanding the operation of a multicomponent ion flow source. In the layout of the plasma-optical mass separator, the POMS-E-3 [1] is a plasma accelerator with an anode layer (</w:t>
      </w:r>
      <w:r>
        <w:rPr>
          <w:lang w:val="en-US"/>
        </w:rPr>
        <w:t>TAL</w:t>
      </w:r>
      <w:r w:rsidRPr="00DC1AF5">
        <w:rPr>
          <w:lang w:val="en-US"/>
        </w:rPr>
        <w:t xml:space="preserve">). The creation of a new compact plasma analyzer </w:t>
      </w:r>
      <w:r>
        <w:rPr>
          <w:lang w:val="en-US"/>
        </w:rPr>
        <w:t>“</w:t>
      </w:r>
      <w:r w:rsidRPr="00DC1AF5">
        <w:rPr>
          <w:lang w:val="en-US"/>
        </w:rPr>
        <w:t>TANDEM</w:t>
      </w:r>
      <w:r>
        <w:rPr>
          <w:lang w:val="en-US"/>
        </w:rPr>
        <w:t>”</w:t>
      </w:r>
      <w:r w:rsidRPr="00DC1AF5">
        <w:rPr>
          <w:lang w:val="en-US"/>
        </w:rPr>
        <w:t xml:space="preserve">, which allows analyzing the ion flow by energy, mass, and charge [2], significantly expands the possibilities of studying both discharges in crossed </w:t>
      </w:r>
      <w:r>
        <w:rPr>
          <w:lang w:val="en-US"/>
        </w:rPr>
        <w:t>TAL</w:t>
      </w:r>
      <w:r w:rsidRPr="00DC1AF5">
        <w:rPr>
          <w:lang w:val="en-US"/>
        </w:rPr>
        <w:t xml:space="preserve"> fields and the actual results of mass separation.</w:t>
      </w:r>
    </w:p>
    <w:p w:rsidR="007E6BCD" w:rsidRDefault="00041F6D" w:rsidP="007E6BCD">
      <w:pPr>
        <w:pStyle w:val="Zv-bodyreport"/>
        <w:rPr>
          <w:lang w:val="en-US"/>
        </w:rPr>
      </w:pPr>
      <w:r>
        <w:rPr>
          <w:noProof/>
        </w:rPr>
        <w:pict>
          <v:shape id="_x0000_s1026" type="#_x0000_t202" style="position:absolute;left:0;text-align:left;margin-left:-.8pt;margin-top:98.3pt;width:237.25pt;height:228pt;z-index:-251655168;mso-width-relative:margin;mso-height-relative:margin" wrapcoords="-65 -61 -65 21539 21665 21539 21665 -61 -65 -61">
            <v:textbox style="mso-next-textbox:#_x0000_s1026">
              <w:txbxContent>
                <w:p w:rsidR="007E6BCD" w:rsidRPr="007E6BCD" w:rsidRDefault="007E6BCD" w:rsidP="007E6BCD">
                  <w:pPr>
                    <w:jc w:val="both"/>
                    <w:rPr>
                      <w:sz w:val="21"/>
                      <w:szCs w:val="21"/>
                      <w:lang w:val="en-US"/>
                    </w:rPr>
                  </w:pPr>
                  <w:r>
                    <w:rPr>
                      <w:noProof/>
                    </w:rPr>
                    <w:drawing>
                      <wp:inline distT="0" distB="0" distL="0" distR="0">
                        <wp:extent cx="2879725" cy="188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4">
                                          <a14:imgEffect>
                                            <a14:sharpenSoften amount="5000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9725" cy="1884045"/>
                                </a:xfrm>
                                <a:prstGeom prst="rect">
                                  <a:avLst/>
                                </a:prstGeom>
                                <a:noFill/>
                                <a:ln>
                                  <a:noFill/>
                                </a:ln>
                              </pic:spPr>
                            </pic:pic>
                          </a:graphicData>
                        </a:graphic>
                      </wp:inline>
                    </w:drawing>
                  </w:r>
                  <w:r w:rsidRPr="007E6BCD">
                    <w:rPr>
                      <w:sz w:val="21"/>
                      <w:szCs w:val="21"/>
                      <w:lang w:val="en-US"/>
                    </w:rPr>
                    <w:t xml:space="preserve">Fig. 1. </w:t>
                  </w:r>
                  <w:r w:rsidRPr="007E6BCD">
                    <w:rPr>
                      <w:i/>
                      <w:iCs/>
                      <w:sz w:val="21"/>
                      <w:szCs w:val="21"/>
                      <w:lang w:val="en-US"/>
                    </w:rPr>
                    <w:t>dI</w:t>
                  </w:r>
                  <w:r w:rsidRPr="007E6BCD">
                    <w:rPr>
                      <w:sz w:val="21"/>
                      <w:szCs w:val="21"/>
                      <w:lang w:val="en-US"/>
                    </w:rPr>
                    <w:t>/</w:t>
                  </w:r>
                  <w:r w:rsidRPr="007E6BCD">
                    <w:rPr>
                      <w:i/>
                      <w:iCs/>
                      <w:sz w:val="21"/>
                      <w:szCs w:val="21"/>
                      <w:lang w:val="en-US"/>
                    </w:rPr>
                    <w:t>dW</w:t>
                  </w:r>
                  <w:r w:rsidRPr="007E6BCD">
                    <w:rPr>
                      <w:i/>
                      <w:iCs/>
                      <w:sz w:val="21"/>
                      <w:szCs w:val="21"/>
                      <w:vertAlign w:val="subscript"/>
                      <w:lang w:val="en-US"/>
                    </w:rPr>
                    <w:t>i.max</w:t>
                  </w:r>
                  <w:r w:rsidRPr="007E6BCD">
                    <w:rPr>
                      <w:sz w:val="21"/>
                      <w:szCs w:val="21"/>
                      <w:lang w:val="en-US"/>
                    </w:rPr>
                    <w:t xml:space="preserve"> = </w:t>
                  </w:r>
                  <w:r w:rsidRPr="007E6BCD">
                    <w:rPr>
                      <w:i/>
                      <w:iCs/>
                      <w:sz w:val="21"/>
                      <w:szCs w:val="21"/>
                      <w:lang w:val="en-US"/>
                    </w:rPr>
                    <w:t>f</w:t>
                  </w:r>
                  <w:r w:rsidRPr="007E6BCD">
                    <w:rPr>
                      <w:sz w:val="21"/>
                      <w:szCs w:val="21"/>
                      <w:lang w:val="en-US"/>
                    </w:rPr>
                    <w:t>(</w:t>
                  </w:r>
                  <w:r w:rsidRPr="007E6BCD">
                    <w:rPr>
                      <w:i/>
                      <w:iCs/>
                      <w:sz w:val="21"/>
                      <w:szCs w:val="21"/>
                      <w:lang w:val="en-US"/>
                    </w:rPr>
                    <w:t>B</w:t>
                  </w:r>
                  <w:r w:rsidRPr="007E6BCD">
                    <w:rPr>
                      <w:i/>
                      <w:iCs/>
                      <w:sz w:val="21"/>
                      <w:szCs w:val="21"/>
                      <w:vertAlign w:val="subscript"/>
                      <w:lang w:val="en-US"/>
                    </w:rPr>
                    <w:t>A</w:t>
                  </w:r>
                  <w:r w:rsidRPr="007E6BCD">
                    <w:rPr>
                      <w:sz w:val="21"/>
                      <w:szCs w:val="21"/>
                      <w:lang w:val="en-US"/>
                    </w:rPr>
                    <w:t>) for Ne</w:t>
                  </w:r>
                  <w:r w:rsidRPr="007E6BCD">
                    <w:rPr>
                      <w:sz w:val="21"/>
                      <w:szCs w:val="21"/>
                      <w:vertAlign w:val="superscript"/>
                      <w:lang w:val="en-US"/>
                    </w:rPr>
                    <w:t>+</w:t>
                  </w:r>
                  <w:r w:rsidRPr="007E6BCD">
                    <w:rPr>
                      <w:sz w:val="21"/>
                      <w:szCs w:val="21"/>
                      <w:lang w:val="en-US"/>
                    </w:rPr>
                    <w:t xml:space="preserve"> ions (curve 1), Ar</w:t>
                  </w:r>
                  <w:r w:rsidRPr="007E6BCD">
                    <w:rPr>
                      <w:sz w:val="21"/>
                      <w:szCs w:val="21"/>
                      <w:vertAlign w:val="superscript"/>
                      <w:lang w:val="en-US"/>
                    </w:rPr>
                    <w:t>+</w:t>
                  </w:r>
                  <w:r w:rsidRPr="007E6BCD">
                    <w:rPr>
                      <w:sz w:val="21"/>
                      <w:szCs w:val="21"/>
                      <w:lang w:val="en-US"/>
                    </w:rPr>
                    <w:t xml:space="preserve"> (2), Kr</w:t>
                  </w:r>
                  <w:r w:rsidRPr="007E6BCD">
                    <w:rPr>
                      <w:sz w:val="21"/>
                      <w:szCs w:val="21"/>
                      <w:vertAlign w:val="superscript"/>
                      <w:lang w:val="en-US"/>
                    </w:rPr>
                    <w:t>+</w:t>
                  </w:r>
                  <w:r w:rsidRPr="007E6BCD">
                    <w:rPr>
                      <w:sz w:val="21"/>
                      <w:szCs w:val="21"/>
                      <w:lang w:val="en-US"/>
                    </w:rPr>
                    <w:t xml:space="preserve"> (3) and a sample from the total ion energy distribution (4) of the magnetic field induction value at the TAL anode; discharge voltage </w:t>
                  </w:r>
                  <w:r w:rsidRPr="007E6BCD">
                    <w:rPr>
                      <w:i/>
                      <w:iCs/>
                      <w:sz w:val="21"/>
                      <w:szCs w:val="21"/>
                      <w:lang w:val="en-US"/>
                    </w:rPr>
                    <w:t>U</w:t>
                  </w:r>
                  <w:r w:rsidRPr="007E6BCD">
                    <w:rPr>
                      <w:i/>
                      <w:iCs/>
                      <w:sz w:val="21"/>
                      <w:szCs w:val="21"/>
                      <w:vertAlign w:val="subscript"/>
                      <w:lang w:val="en-US"/>
                    </w:rPr>
                    <w:t>d</w:t>
                  </w:r>
                  <w:r w:rsidRPr="007E6BCD">
                    <w:rPr>
                      <w:sz w:val="21"/>
                      <w:szCs w:val="21"/>
                      <w:lang w:val="en-US"/>
                    </w:rPr>
                    <w:t xml:space="preserve"> = 1100 V; P = 15</w:t>
                  </w:r>
                  <w:r w:rsidRPr="007E6BCD">
                    <w:rPr>
                      <w:sz w:val="21"/>
                      <w:szCs w:val="21"/>
                      <w:lang w:val="en-US"/>
                    </w:rPr>
                    <w:sym w:font="Symbol" w:char="F0D7"/>
                  </w:r>
                  <w:r w:rsidRPr="007E6BCD">
                    <w:rPr>
                      <w:sz w:val="21"/>
                      <w:szCs w:val="21"/>
                      <w:lang w:val="en-US"/>
                    </w:rPr>
                    <w:t>10</w:t>
                  </w:r>
                  <w:r w:rsidRPr="007E6BCD">
                    <w:rPr>
                      <w:sz w:val="21"/>
                      <w:szCs w:val="21"/>
                      <w:vertAlign w:val="superscript"/>
                      <w:lang w:val="en-US"/>
                    </w:rPr>
                    <w:sym w:font="Symbol" w:char="F02D"/>
                  </w:r>
                  <w:r w:rsidRPr="007E6BCD">
                    <w:rPr>
                      <w:sz w:val="21"/>
                      <w:szCs w:val="21"/>
                      <w:vertAlign w:val="superscript"/>
                      <w:lang w:val="en-US"/>
                    </w:rPr>
                    <w:t>5</w:t>
                  </w:r>
                  <w:r w:rsidRPr="007E6BCD">
                    <w:rPr>
                      <w:sz w:val="21"/>
                      <w:szCs w:val="21"/>
                      <w:lang w:val="en-US"/>
                    </w:rPr>
                    <w:t xml:space="preserve"> Torr; gas inlet velocity </w:t>
                  </w:r>
                  <w:r w:rsidRPr="007E6BCD">
                    <w:rPr>
                      <w:i/>
                      <w:iCs/>
                      <w:sz w:val="21"/>
                      <w:szCs w:val="21"/>
                      <w:lang w:val="en-US"/>
                    </w:rPr>
                    <w:t>q</w:t>
                  </w:r>
                  <w:r w:rsidRPr="007E6BCD">
                    <w:rPr>
                      <w:sz w:val="21"/>
                      <w:szCs w:val="21"/>
                      <w:vertAlign w:val="subscript"/>
                      <w:lang w:val="en-US"/>
                    </w:rPr>
                    <w:t>Ne</w:t>
                  </w:r>
                  <w:r w:rsidRPr="007E6BCD">
                    <w:rPr>
                      <w:sz w:val="21"/>
                      <w:szCs w:val="21"/>
                      <w:lang w:val="en-US"/>
                    </w:rPr>
                    <w:t xml:space="preserve"> = 10 sccm; </w:t>
                  </w:r>
                  <w:r w:rsidRPr="007E6BCD">
                    <w:rPr>
                      <w:i/>
                      <w:iCs/>
                      <w:sz w:val="21"/>
                      <w:szCs w:val="21"/>
                      <w:lang w:val="en-US"/>
                    </w:rPr>
                    <w:t>q</w:t>
                  </w:r>
                  <w:r w:rsidRPr="007E6BCD">
                    <w:rPr>
                      <w:sz w:val="21"/>
                      <w:szCs w:val="21"/>
                      <w:vertAlign w:val="subscript"/>
                      <w:lang w:val="en-US"/>
                    </w:rPr>
                    <w:t>Ar</w:t>
                  </w:r>
                  <w:r w:rsidRPr="007E6BCD">
                    <w:rPr>
                      <w:sz w:val="21"/>
                      <w:szCs w:val="21"/>
                      <w:lang w:val="en-US"/>
                    </w:rPr>
                    <w:t xml:space="preserve"> = 10 sccm; </w:t>
                  </w:r>
                  <w:r w:rsidRPr="007E6BCD">
                    <w:rPr>
                      <w:i/>
                      <w:iCs/>
                      <w:sz w:val="21"/>
                      <w:szCs w:val="21"/>
                      <w:lang w:val="en-US"/>
                    </w:rPr>
                    <w:t>q</w:t>
                  </w:r>
                  <w:r w:rsidRPr="007E6BCD">
                    <w:rPr>
                      <w:sz w:val="21"/>
                      <w:szCs w:val="21"/>
                      <w:vertAlign w:val="subscript"/>
                      <w:lang w:val="en-US"/>
                    </w:rPr>
                    <w:t>Kr</w:t>
                  </w:r>
                  <w:r w:rsidRPr="007E6BCD">
                    <w:rPr>
                      <w:sz w:val="21"/>
                      <w:szCs w:val="21"/>
                      <w:lang w:val="en-US"/>
                    </w:rPr>
                    <w:t xml:space="preserve"> = 10 sccm.</w:t>
                  </w:r>
                </w:p>
              </w:txbxContent>
            </v:textbox>
            <w10:wrap type="tight"/>
          </v:shape>
        </w:pict>
      </w:r>
      <w:r>
        <w:rPr>
          <w:noProof/>
        </w:rPr>
        <w:pict>
          <v:shape id="_x0000_s1027" type="#_x0000_t202" style="position:absolute;left:0;text-align:left;margin-left:248.6pt;margin-top:98.75pt;width:231.85pt;height:166.5pt;z-index:251662336;mso-width-relative:margin;mso-height-relative:margin">
            <v:textbox>
              <w:txbxContent>
                <w:p w:rsidR="007E6BCD" w:rsidRDefault="007E6BCD" w:rsidP="007E6BCD">
                  <w:pPr>
                    <w:rPr>
                      <w:lang w:val="en-US"/>
                    </w:rPr>
                  </w:pPr>
                  <w:r>
                    <w:rPr>
                      <w:noProof/>
                    </w:rPr>
                    <w:drawing>
                      <wp:inline distT="0" distB="0" distL="0" distR="0">
                        <wp:extent cx="2519680" cy="154495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6">
                                          <a14:imgEffect>
                                            <a14:sharpenSoften amount="5000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9680" cy="1544955"/>
                                </a:xfrm>
                                <a:prstGeom prst="rect">
                                  <a:avLst/>
                                </a:prstGeom>
                                <a:noFill/>
                                <a:ln>
                                  <a:noFill/>
                                </a:ln>
                              </pic:spPr>
                            </pic:pic>
                          </a:graphicData>
                        </a:graphic>
                      </wp:inline>
                    </w:drawing>
                  </w:r>
                </w:p>
                <w:p w:rsidR="007E6BCD" w:rsidRPr="007E6BCD" w:rsidRDefault="007E6BCD" w:rsidP="007E6BCD">
                  <w:pPr>
                    <w:jc w:val="both"/>
                    <w:rPr>
                      <w:sz w:val="21"/>
                      <w:szCs w:val="21"/>
                      <w:lang w:val="en-US"/>
                    </w:rPr>
                  </w:pPr>
                  <w:r w:rsidRPr="007E6BCD">
                    <w:rPr>
                      <w:sz w:val="21"/>
                      <w:szCs w:val="21"/>
                      <w:lang w:val="en-US"/>
                    </w:rPr>
                    <w:t>Fig. 2. Fine structure of the distribution of Kr</w:t>
                  </w:r>
                  <w:r w:rsidRPr="007E6BCD">
                    <w:rPr>
                      <w:sz w:val="21"/>
                      <w:szCs w:val="21"/>
                      <w:vertAlign w:val="superscript"/>
                      <w:lang w:val="en-US"/>
                    </w:rPr>
                    <w:t>+</w:t>
                  </w:r>
                  <w:r w:rsidRPr="007E6BCD">
                    <w:rPr>
                      <w:sz w:val="21"/>
                      <w:szCs w:val="21"/>
                      <w:lang w:val="en-US"/>
                    </w:rPr>
                    <w:t xml:space="preserve"> ions by energy (velocity-mass) inside the </w:t>
                  </w:r>
                  <w:r w:rsidRPr="007E6BCD">
                    <w:rPr>
                      <w:i/>
                      <w:iCs/>
                      <w:sz w:val="21"/>
                      <w:szCs w:val="21"/>
                      <w:lang w:val="en-US"/>
                    </w:rPr>
                    <w:sym w:font="Symbol" w:char="F044"/>
                  </w:r>
                  <w:r w:rsidRPr="007E6BCD">
                    <w:rPr>
                      <w:sz w:val="21"/>
                      <w:szCs w:val="21"/>
                      <w:lang w:val="en-US"/>
                    </w:rPr>
                    <w:t>W Wine filter of the TANDEM analyzer.</w:t>
                  </w:r>
                </w:p>
              </w:txbxContent>
            </v:textbox>
            <w10:wrap type="square"/>
          </v:shape>
        </w:pict>
      </w:r>
      <w:r w:rsidR="007E6BCD" w:rsidRPr="00DC1AF5">
        <w:rPr>
          <w:lang w:val="en-US"/>
        </w:rPr>
        <w:t>Figure 1 shows the dependences of the amplitude values of the current intensity of Ne</w:t>
      </w:r>
      <w:r w:rsidR="007E6BCD" w:rsidRPr="00DC1AF5">
        <w:rPr>
          <w:vertAlign w:val="superscript"/>
          <w:lang w:val="en-US"/>
        </w:rPr>
        <w:t>+</w:t>
      </w:r>
      <w:r w:rsidR="007E6BCD" w:rsidRPr="00DC1AF5">
        <w:rPr>
          <w:lang w:val="en-US"/>
        </w:rPr>
        <w:t>, Ar</w:t>
      </w:r>
      <w:r w:rsidR="007E6BCD" w:rsidRPr="00DC1AF5">
        <w:rPr>
          <w:vertAlign w:val="superscript"/>
          <w:lang w:val="en-US"/>
        </w:rPr>
        <w:t>+</w:t>
      </w:r>
      <w:r w:rsidR="007E6BCD" w:rsidRPr="00DC1AF5">
        <w:rPr>
          <w:lang w:val="en-US"/>
        </w:rPr>
        <w:t>, and Kr</w:t>
      </w:r>
      <w:r w:rsidR="007E6BCD" w:rsidRPr="00DC1AF5">
        <w:rPr>
          <w:vertAlign w:val="superscript"/>
          <w:lang w:val="en-US"/>
        </w:rPr>
        <w:t>+</w:t>
      </w:r>
      <w:r w:rsidR="007E6BCD" w:rsidRPr="00DC1AF5">
        <w:rPr>
          <w:lang w:val="en-US"/>
        </w:rPr>
        <w:t xml:space="preserve"> </w:t>
      </w:r>
      <w:r w:rsidR="007E6BCD" w:rsidRPr="007E6BCD">
        <w:rPr>
          <w:lang w:val="en-US"/>
        </w:rPr>
        <w:t>ions</w:t>
      </w:r>
      <w:r w:rsidR="007E6BCD" w:rsidRPr="00DC1AF5">
        <w:rPr>
          <w:lang w:val="en-US"/>
        </w:rPr>
        <w:t xml:space="preserve"> on the magnitude of the magnetic field induction at the </w:t>
      </w:r>
      <w:r w:rsidR="007E6BCD">
        <w:rPr>
          <w:lang w:val="en-US"/>
        </w:rPr>
        <w:t>T</w:t>
      </w:r>
      <w:r w:rsidR="007E6BCD" w:rsidRPr="00DC1AF5">
        <w:rPr>
          <w:lang w:val="en-US"/>
        </w:rPr>
        <w:t>A</w:t>
      </w:r>
      <w:r w:rsidR="007E6BCD">
        <w:rPr>
          <w:lang w:val="en-US"/>
        </w:rPr>
        <w:t>L</w:t>
      </w:r>
      <w:r w:rsidR="007E6BCD" w:rsidRPr="00DC1AF5">
        <w:rPr>
          <w:lang w:val="en-US"/>
        </w:rPr>
        <w:t xml:space="preserve"> anode, measured by the TANDEM analyzer at the output of the POMS-E-3 azimuthator. Curve 4 in figure 1 is the dependence of the maximum values </w:t>
      </w:r>
      <w:r w:rsidR="007E6BCD" w:rsidRPr="0016431F">
        <w:rPr>
          <w:i/>
          <w:iCs/>
          <w:lang w:val="en-US"/>
        </w:rPr>
        <w:t>dI</w:t>
      </w:r>
      <w:r w:rsidR="007E6BCD" w:rsidRPr="00DC1AF5">
        <w:rPr>
          <w:lang w:val="en-US"/>
        </w:rPr>
        <w:t>/</w:t>
      </w:r>
      <w:r w:rsidR="007E6BCD" w:rsidRPr="0016431F">
        <w:rPr>
          <w:i/>
          <w:iCs/>
          <w:lang w:val="en-US"/>
        </w:rPr>
        <w:t>dW</w:t>
      </w:r>
      <w:r w:rsidR="007E6BCD" w:rsidRPr="00DC1AF5">
        <w:rPr>
          <w:lang w:val="en-US"/>
        </w:rPr>
        <w:t xml:space="preserve"> taken from the total spectrum</w:t>
      </w:r>
      <w:r w:rsidR="007E6BCD">
        <w:rPr>
          <w:lang w:val="en-US"/>
        </w:rPr>
        <w:t xml:space="preserve"> </w:t>
      </w:r>
      <w:r w:rsidR="007E6BCD" w:rsidRPr="00DC1AF5">
        <w:rPr>
          <w:i/>
          <w:iCs/>
          <w:lang w:val="en-US"/>
        </w:rPr>
        <w:t>dI</w:t>
      </w:r>
      <w:r w:rsidR="007E6BCD" w:rsidRPr="00DC1AF5">
        <w:rPr>
          <w:lang w:val="en-US"/>
        </w:rPr>
        <w:t>/</w:t>
      </w:r>
      <w:r w:rsidR="007E6BCD" w:rsidRPr="00DC1AF5">
        <w:rPr>
          <w:i/>
          <w:iCs/>
          <w:lang w:val="en-US"/>
        </w:rPr>
        <w:t>dW</w:t>
      </w:r>
      <w:r w:rsidR="007E6BCD" w:rsidRPr="00DC1AF5">
        <w:rPr>
          <w:lang w:val="en-US"/>
        </w:rPr>
        <w:t xml:space="preserve"> = </w:t>
      </w:r>
      <w:r w:rsidR="007E6BCD" w:rsidRPr="00DC1AF5">
        <w:rPr>
          <w:i/>
          <w:iCs/>
          <w:lang w:val="en-US"/>
        </w:rPr>
        <w:t>f</w:t>
      </w:r>
      <w:r w:rsidR="007E6BCD" w:rsidRPr="00DC1AF5">
        <w:rPr>
          <w:lang w:val="en-US"/>
        </w:rPr>
        <w:t xml:space="preserve"> (</w:t>
      </w:r>
      <w:r w:rsidR="007E6BCD" w:rsidRPr="00DC1AF5">
        <w:rPr>
          <w:i/>
          <w:iCs/>
          <w:lang w:val="en-US"/>
        </w:rPr>
        <w:t>B</w:t>
      </w:r>
      <w:r w:rsidR="007E6BCD" w:rsidRPr="00DC1AF5">
        <w:rPr>
          <w:i/>
          <w:iCs/>
          <w:vertAlign w:val="subscript"/>
          <w:lang w:val="en-US"/>
        </w:rPr>
        <w:t>A</w:t>
      </w:r>
      <w:r w:rsidR="007E6BCD" w:rsidRPr="00DC1AF5">
        <w:rPr>
          <w:lang w:val="en-US"/>
        </w:rPr>
        <w:t xml:space="preserve">) measured by an energy analyzer with a </w:t>
      </w:r>
      <w:r w:rsidR="007E6BCD">
        <w:rPr>
          <w:lang w:val="en-US"/>
        </w:rPr>
        <w:t>retarding</w:t>
      </w:r>
      <w:r w:rsidR="007E6BCD" w:rsidRPr="00DC1AF5">
        <w:rPr>
          <w:lang w:val="en-US"/>
        </w:rPr>
        <w:t xml:space="preserve"> potential (</w:t>
      </w:r>
      <w:r w:rsidR="007E6BCD">
        <w:rPr>
          <w:lang w:val="en-US"/>
        </w:rPr>
        <w:t>RFA</w:t>
      </w:r>
      <w:r w:rsidR="007E6BCD" w:rsidRPr="00DC1AF5">
        <w:rPr>
          <w:lang w:val="en-US"/>
        </w:rPr>
        <w:t>). Comparison of these dependences makes it possible to determine the contribution of an ion of each mass to the total ion current and optimize the gas injection rates to achieve the specified partial ratios.</w:t>
      </w:r>
    </w:p>
    <w:p w:rsidR="007E6BCD" w:rsidRDefault="007E6BCD" w:rsidP="007E6BCD">
      <w:pPr>
        <w:pStyle w:val="Zv-bodyreport"/>
        <w:rPr>
          <w:lang w:val="en-US"/>
        </w:rPr>
      </w:pPr>
      <w:r w:rsidRPr="00E57567">
        <w:rPr>
          <w:lang w:val="en-US"/>
        </w:rPr>
        <w:t xml:space="preserve">The use </w:t>
      </w:r>
      <w:r w:rsidRPr="007E6BCD">
        <w:rPr>
          <w:lang w:val="en-US"/>
        </w:rPr>
        <w:t>of</w:t>
      </w:r>
      <w:r w:rsidRPr="00E57567">
        <w:rPr>
          <w:lang w:val="en-US"/>
        </w:rPr>
        <w:t xml:space="preserve"> a TANDEM allows you to </w:t>
      </w:r>
      <w:r>
        <w:rPr>
          <w:lang w:val="en-US"/>
        </w:rPr>
        <w:t>“</w:t>
      </w:r>
      <w:r w:rsidRPr="00E57567">
        <w:rPr>
          <w:lang w:val="en-US"/>
        </w:rPr>
        <w:t>unplanned</w:t>
      </w:r>
      <w:r>
        <w:rPr>
          <w:lang w:val="en-US"/>
        </w:rPr>
        <w:t>”</w:t>
      </w:r>
      <w:r w:rsidRPr="00E57567">
        <w:rPr>
          <w:lang w:val="en-US"/>
        </w:rPr>
        <w:t xml:space="preserve"> see the </w:t>
      </w:r>
      <w:r>
        <w:rPr>
          <w:lang w:val="en-US"/>
        </w:rPr>
        <w:t>“</w:t>
      </w:r>
      <w:r w:rsidRPr="00E57567">
        <w:rPr>
          <w:lang w:val="en-US"/>
        </w:rPr>
        <w:t>fine structure</w:t>
      </w:r>
      <w:r>
        <w:rPr>
          <w:lang w:val="en-US"/>
        </w:rPr>
        <w:t>”</w:t>
      </w:r>
      <w:r w:rsidRPr="00E57567">
        <w:rPr>
          <w:lang w:val="en-US"/>
        </w:rPr>
        <w:t xml:space="preserve"> of signals from ions of each class in the energy window determined by the energy resolution </w:t>
      </w:r>
      <w:r>
        <w:rPr>
          <w:lang w:val="en-US"/>
        </w:rPr>
        <w:sym w:font="Symbol" w:char="F044"/>
      </w:r>
      <w:r w:rsidRPr="00E57567">
        <w:rPr>
          <w:i/>
          <w:iCs/>
          <w:lang w:val="en-US"/>
        </w:rPr>
        <w:t>W</w:t>
      </w:r>
      <w:r w:rsidRPr="00E57567">
        <w:rPr>
          <w:lang w:val="en-US"/>
        </w:rPr>
        <w:t xml:space="preserve"> of the analyzer. Figure 2 shows an example of a signal generated on the analyzer collector by krypton ions. </w:t>
      </w:r>
      <w:r w:rsidRPr="003F114D">
        <w:rPr>
          <w:lang w:val="en-US"/>
        </w:rPr>
        <w:t xml:space="preserve">The same physical nature of this structure is seen with the isomagnetic jumps observed earlier [3] on the total ion distribution function measured by the </w:t>
      </w:r>
      <w:r>
        <w:rPr>
          <w:lang w:val="en-US"/>
        </w:rPr>
        <w:t>RFA</w:t>
      </w:r>
      <w:r w:rsidRPr="003F114D">
        <w:rPr>
          <w:lang w:val="en-US"/>
        </w:rPr>
        <w:t>.</w:t>
      </w:r>
    </w:p>
    <w:p w:rsidR="007E6BCD" w:rsidRPr="00A25E65" w:rsidRDefault="007E6BCD" w:rsidP="007E6BCD">
      <w:pPr>
        <w:pStyle w:val="Zv-TitleReferences-en"/>
        <w:rPr>
          <w:lang w:val="en-US"/>
        </w:rPr>
      </w:pPr>
      <w:r w:rsidRPr="00A25E65">
        <w:rPr>
          <w:lang w:val="en-US"/>
        </w:rPr>
        <w:t>References</w:t>
      </w:r>
    </w:p>
    <w:p w:rsidR="007E6BCD" w:rsidRDefault="007E6BCD" w:rsidP="007E6BCD">
      <w:pPr>
        <w:pStyle w:val="Zv-References-en"/>
      </w:pPr>
      <w:r>
        <w:t xml:space="preserve">Bardakov V.M., Kichigin G.N., Strokin N.A., </w:t>
      </w:r>
      <w:hyperlink r:id="rId17" w:tooltip="Technical Physics Letters" w:history="1">
        <w:r>
          <w:rPr>
            <w:rStyle w:val="journaltitle"/>
          </w:rPr>
          <w:t>Tech. Phys. Letters</w:t>
        </w:r>
      </w:hyperlink>
      <w:r>
        <w:t>, 2010, 36, 185.</w:t>
      </w:r>
    </w:p>
    <w:p w:rsidR="007E6BCD" w:rsidRPr="00A25E65" w:rsidRDefault="007E6BCD" w:rsidP="007E6BCD">
      <w:pPr>
        <w:pStyle w:val="Zv-References-en"/>
      </w:pPr>
      <w:r w:rsidRPr="00A25E65">
        <w:t>Strokin N.A., Bardakov V.M., Nguyen The Thang, and Kazantsev A.V.</w:t>
      </w:r>
      <w:r>
        <w:t>,</w:t>
      </w:r>
      <w:r w:rsidRPr="00A25E65">
        <w:t xml:space="preserve"> Tech</w:t>
      </w:r>
      <w:r>
        <w:t xml:space="preserve">. </w:t>
      </w:r>
      <w:r w:rsidRPr="00A25E65">
        <w:t>Phys</w:t>
      </w:r>
      <w:r>
        <w:t xml:space="preserve">. </w:t>
      </w:r>
      <w:r w:rsidRPr="00A25E65">
        <w:t xml:space="preserve">Letters, 2020, 46, </w:t>
      </w:r>
      <w:r>
        <w:t>4</w:t>
      </w:r>
      <w:r w:rsidRPr="00A25E65">
        <w:t>66</w:t>
      </w:r>
      <w:r>
        <w:t xml:space="preserve">. </w:t>
      </w:r>
    </w:p>
    <w:p w:rsidR="007E6BCD" w:rsidRPr="00A25E65" w:rsidRDefault="007E6BCD" w:rsidP="007E6BCD">
      <w:pPr>
        <w:pStyle w:val="Zv-References-en"/>
      </w:pPr>
      <w:r w:rsidRPr="00A25E65">
        <w:t>Strokin N.A., Kazantsev A.V., Bardakov V.M., The Thang Nguyen, and Kuzmina A.S., Physics</w:t>
      </w:r>
      <w:r>
        <w:t xml:space="preserve"> of Plasmas, 2019</w:t>
      </w:r>
      <w:r w:rsidRPr="00A25E65">
        <w:t xml:space="preserve">, </w:t>
      </w:r>
      <w:r>
        <w:t>26</w:t>
      </w:r>
      <w:r w:rsidRPr="00A25E65">
        <w:t xml:space="preserve">, </w:t>
      </w:r>
      <w:r>
        <w:t>073501.</w:t>
      </w:r>
    </w:p>
    <w:p w:rsidR="00654A7B" w:rsidRPr="009D3AC4" w:rsidRDefault="00654A7B" w:rsidP="009D3AC4">
      <w:pPr>
        <w:rPr>
          <w:lang w:val="en-US"/>
        </w:rPr>
      </w:pPr>
    </w:p>
    <w:sectPr w:rsidR="00654A7B" w:rsidRPr="009D3AC4" w:rsidSect="00F95123">
      <w:headerReference w:type="default" r:id="rId18"/>
      <w:footerReference w:type="even" r:id="rId19"/>
      <w:footerReference w:type="default" r:id="rId2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3B" w:rsidRDefault="005C703B">
      <w:r>
        <w:separator/>
      </w:r>
    </w:p>
  </w:endnote>
  <w:endnote w:type="continuationSeparator" w:id="0">
    <w:p w:rsidR="005C703B" w:rsidRDefault="005C7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41F6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41F6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47AC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3B" w:rsidRDefault="005C703B">
      <w:r>
        <w:separator/>
      </w:r>
    </w:p>
  </w:footnote>
  <w:footnote w:type="continuationSeparator" w:id="0">
    <w:p w:rsidR="005C703B" w:rsidRDefault="005C703B">
      <w:r>
        <w:continuationSeparator/>
      </w:r>
    </w:p>
  </w:footnote>
  <w:footnote w:id="1">
    <w:p w:rsidR="00CA41E1" w:rsidRPr="00CA41E1" w:rsidRDefault="00CA41E1">
      <w:pPr>
        <w:pStyle w:val="ab"/>
        <w:rPr>
          <w:sz w:val="22"/>
          <w:szCs w:val="22"/>
          <w:lang w:val="en-US"/>
        </w:rPr>
      </w:pPr>
      <w:r w:rsidRPr="00CA41E1">
        <w:rPr>
          <w:rStyle w:val="ad"/>
          <w:sz w:val="22"/>
          <w:szCs w:val="22"/>
          <w:lang w:val="en-US"/>
        </w:rPr>
        <w:t>*)</w:t>
      </w:r>
      <w:r w:rsidRPr="00CA41E1">
        <w:rPr>
          <w:sz w:val="22"/>
          <w:szCs w:val="22"/>
          <w:lang w:val="en-US"/>
        </w:rPr>
        <w:t xml:space="preserve">  </w:t>
      </w:r>
      <w:hyperlink r:id="rId1" w:history="1">
        <w:r w:rsidRPr="00CA41E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41F6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C0B22"/>
    <w:rsid w:val="00041F6D"/>
    <w:rsid w:val="00043701"/>
    <w:rsid w:val="000C657D"/>
    <w:rsid w:val="000C7078"/>
    <w:rsid w:val="000D76E9"/>
    <w:rsid w:val="000E495B"/>
    <w:rsid w:val="00147AC6"/>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C703B"/>
    <w:rsid w:val="005F764D"/>
    <w:rsid w:val="006038C3"/>
    <w:rsid w:val="00654A7B"/>
    <w:rsid w:val="006B5B24"/>
    <w:rsid w:val="00732A2E"/>
    <w:rsid w:val="00770692"/>
    <w:rsid w:val="007B09C9"/>
    <w:rsid w:val="007B6378"/>
    <w:rsid w:val="007E06CE"/>
    <w:rsid w:val="007E6BCD"/>
    <w:rsid w:val="00802D35"/>
    <w:rsid w:val="008306AF"/>
    <w:rsid w:val="008520F9"/>
    <w:rsid w:val="008850EF"/>
    <w:rsid w:val="00906FF7"/>
    <w:rsid w:val="009D3AC4"/>
    <w:rsid w:val="00AE6185"/>
    <w:rsid w:val="00B622ED"/>
    <w:rsid w:val="00B9584E"/>
    <w:rsid w:val="00C103CD"/>
    <w:rsid w:val="00C232A0"/>
    <w:rsid w:val="00C37BF9"/>
    <w:rsid w:val="00C5751F"/>
    <w:rsid w:val="00CA41E1"/>
    <w:rsid w:val="00D453AF"/>
    <w:rsid w:val="00D47F19"/>
    <w:rsid w:val="00D900FB"/>
    <w:rsid w:val="00D92E54"/>
    <w:rsid w:val="00E118BE"/>
    <w:rsid w:val="00E7021A"/>
    <w:rsid w:val="00E87733"/>
    <w:rsid w:val="00EC0B2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C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7E6BCD"/>
    <w:rPr>
      <w:color w:val="0000FF"/>
      <w:u w:val="single"/>
    </w:rPr>
  </w:style>
  <w:style w:type="paragraph" w:styleId="a8">
    <w:name w:val="Normal (Web)"/>
    <w:basedOn w:val="a"/>
    <w:uiPriority w:val="99"/>
    <w:unhideWhenUsed/>
    <w:rsid w:val="007E6BCD"/>
    <w:pPr>
      <w:spacing w:before="100" w:beforeAutospacing="1" w:after="100" w:afterAutospacing="1"/>
    </w:pPr>
  </w:style>
  <w:style w:type="character" w:customStyle="1" w:styleId="journaltitle">
    <w:name w:val="journaltitle"/>
    <w:basedOn w:val="a0"/>
    <w:rsid w:val="007E6BCD"/>
  </w:style>
  <w:style w:type="paragraph" w:styleId="a9">
    <w:name w:val="Balloon Text"/>
    <w:basedOn w:val="a"/>
    <w:link w:val="aa"/>
    <w:rsid w:val="007E6BCD"/>
    <w:rPr>
      <w:rFonts w:ascii="Tahoma" w:hAnsi="Tahoma" w:cs="Tahoma"/>
      <w:sz w:val="16"/>
      <w:szCs w:val="16"/>
    </w:rPr>
  </w:style>
  <w:style w:type="character" w:customStyle="1" w:styleId="aa">
    <w:name w:val="Текст выноски Знак"/>
    <w:basedOn w:val="a0"/>
    <w:link w:val="a9"/>
    <w:rsid w:val="007E6BCD"/>
    <w:rPr>
      <w:rFonts w:ascii="Tahoma" w:hAnsi="Tahoma" w:cs="Tahoma"/>
      <w:sz w:val="16"/>
      <w:szCs w:val="16"/>
    </w:rPr>
  </w:style>
  <w:style w:type="paragraph" w:styleId="ab">
    <w:name w:val="footnote text"/>
    <w:basedOn w:val="a"/>
    <w:link w:val="ac"/>
    <w:rsid w:val="00CA41E1"/>
    <w:rPr>
      <w:sz w:val="20"/>
      <w:szCs w:val="20"/>
    </w:rPr>
  </w:style>
  <w:style w:type="character" w:customStyle="1" w:styleId="ac">
    <w:name w:val="Текст сноски Знак"/>
    <w:basedOn w:val="a0"/>
    <w:link w:val="ab"/>
    <w:rsid w:val="00CA41E1"/>
  </w:style>
  <w:style w:type="character" w:styleId="ad">
    <w:name w:val="footnote reference"/>
    <w:basedOn w:val="a0"/>
    <w:rsid w:val="00CA41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okin85@inbox.ru"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mbardakov38@mail.ru" TargetMode="External"/><Relationship Id="rId17" Type="http://schemas.openxmlformats.org/officeDocument/2006/relationships/hyperlink" Target="http://link.springer.com/journal/11455"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eniy.rigin@mail.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nguen.tkhe@yande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zanets@gmail.com" TargetMode="External"/><Relationship Id="rId14" Type="http://schemas.microsoft.com/office/2007/relationships/hdphoto" Target="media/hdphoto1.wdp"/><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P-Stro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772E-4A1D-4678-8AFA-E035DE24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15</TotalTime>
  <Pages>1</Pages>
  <Words>360</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GENERATION OF IONS IN A MULTICOMPONENT PLASMA OF THE ACCELERATOR WITH CLOSED ELECTRON DRIFT</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IONS IN A MULTICOMPONENT PLASMA OF THE ACCELERATOR WITH CLOSED ELECTRON DRIFT</dc:title>
  <dc:creator/>
  <cp:lastModifiedBy>Сатунин</cp:lastModifiedBy>
  <cp:revision>4</cp:revision>
  <cp:lastPrinted>1601-01-01T00:00:00Z</cp:lastPrinted>
  <dcterms:created xsi:type="dcterms:W3CDTF">2021-02-02T19:00:00Z</dcterms:created>
  <dcterms:modified xsi:type="dcterms:W3CDTF">2021-06-07T11:16:00Z</dcterms:modified>
</cp:coreProperties>
</file>