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46" w:rsidRDefault="00A863A1" w:rsidP="002A6346">
      <w:pPr>
        <w:pStyle w:val="Zv-Titlereport"/>
        <w:rPr>
          <w:lang w:val="en-US"/>
        </w:rPr>
      </w:pPr>
      <w:r w:rsidRPr="00A863A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B5B1C" w:rsidRPr="0095603D" w:rsidRDefault="00CB5B1C" w:rsidP="003B6459">
                  <w:pPr>
                    <w:spacing w:before="80"/>
                    <w:rPr>
                      <w:sz w:val="22"/>
                      <w:szCs w:val="22"/>
                    </w:rPr>
                  </w:pPr>
                  <w:r w:rsidRPr="0095603D">
                    <w:rPr>
                      <w:sz w:val="22"/>
                      <w:szCs w:val="22"/>
                    </w:rPr>
                    <w:t>DOI:</w:t>
                  </w:r>
                  <w:r>
                    <w:rPr>
                      <w:sz w:val="22"/>
                      <w:szCs w:val="22"/>
                    </w:rPr>
                    <w:t xml:space="preserve"> </w:t>
                  </w:r>
                  <w:r w:rsidRPr="00CB5B1C">
                    <w:rPr>
                      <w:sz w:val="22"/>
                      <w:szCs w:val="22"/>
                    </w:rPr>
                    <w:t>10.34854/ICPAF.2021.48.1.143</w:t>
                  </w:r>
                </w:p>
              </w:txbxContent>
            </v:textbox>
            <w10:anchorlock/>
          </v:shape>
        </w:pict>
      </w:r>
      <w:r w:rsidR="002A6346" w:rsidRPr="00766A9E">
        <w:rPr>
          <w:lang w:val="en-US"/>
        </w:rPr>
        <w:t>Spectral composition dynamics of terahertz radiation flux during REB relaxation in the plasma column under different boundary conditions at the beam exit from the plasma</w:t>
      </w:r>
      <w:r w:rsidR="00CB5B1C">
        <w:rPr>
          <w:lang w:val="en-US"/>
        </w:rPr>
        <w:t xml:space="preserve"> </w:t>
      </w:r>
      <w:r w:rsidR="00CB5B1C">
        <w:rPr>
          <w:rStyle w:val="aa"/>
          <w:lang w:val="en-US"/>
        </w:rPr>
        <w:footnoteReference w:customMarkFollows="1" w:id="1"/>
        <w:t>*)</w:t>
      </w:r>
    </w:p>
    <w:p w:rsidR="002A6346" w:rsidRPr="002A6346" w:rsidRDefault="002A6346" w:rsidP="002A6346">
      <w:pPr>
        <w:pStyle w:val="Zv-Author"/>
        <w:rPr>
          <w:lang w:val="en-US"/>
        </w:rPr>
      </w:pPr>
      <w:r w:rsidRPr="002A6346">
        <w:rPr>
          <w:bCs w:val="0"/>
          <w:szCs w:val="24"/>
          <w:vertAlign w:val="superscript"/>
          <w:lang w:val="en-US"/>
        </w:rPr>
        <w:t>1,2</w:t>
      </w:r>
      <w:r w:rsidRPr="002A6346">
        <w:rPr>
          <w:szCs w:val="24"/>
          <w:u w:val="single"/>
          <w:lang w:val="en-US"/>
        </w:rPr>
        <w:t>Arzhannikov A.V.</w:t>
      </w:r>
      <w:r w:rsidRPr="002A6346">
        <w:rPr>
          <w:szCs w:val="24"/>
          <w:lang w:val="en-US"/>
        </w:rPr>
        <w:t xml:space="preserve">, </w:t>
      </w:r>
      <w:r w:rsidRPr="002A6346">
        <w:rPr>
          <w:bCs w:val="0"/>
          <w:szCs w:val="24"/>
          <w:vertAlign w:val="superscript"/>
          <w:lang w:val="en-US"/>
        </w:rPr>
        <w:t>1,2</w:t>
      </w:r>
      <w:r w:rsidRPr="002A6346">
        <w:rPr>
          <w:szCs w:val="24"/>
          <w:lang w:val="en-US"/>
        </w:rPr>
        <w:t xml:space="preserve">Kalinin P.V., </w:t>
      </w:r>
      <w:r w:rsidRPr="002A6346">
        <w:rPr>
          <w:bCs w:val="0"/>
          <w:szCs w:val="24"/>
          <w:vertAlign w:val="superscript"/>
          <w:lang w:val="en-US"/>
        </w:rPr>
        <w:t>1,2</w:t>
      </w:r>
      <w:r w:rsidRPr="002A6346">
        <w:rPr>
          <w:szCs w:val="24"/>
          <w:lang w:val="en-US"/>
        </w:rPr>
        <w:t xml:space="preserve">Kasatov A.A., </w:t>
      </w:r>
      <w:r w:rsidRPr="002A6346">
        <w:rPr>
          <w:bCs w:val="0"/>
          <w:szCs w:val="24"/>
          <w:vertAlign w:val="superscript"/>
          <w:lang w:val="en-US"/>
        </w:rPr>
        <w:t>1</w:t>
      </w:r>
      <w:r w:rsidRPr="002A6346">
        <w:rPr>
          <w:szCs w:val="24"/>
          <w:lang w:val="en-US"/>
        </w:rPr>
        <w:t xml:space="preserve">Kuklin K.N., </w:t>
      </w:r>
      <w:r w:rsidRPr="002A6346">
        <w:rPr>
          <w:bCs w:val="0"/>
          <w:szCs w:val="24"/>
          <w:vertAlign w:val="superscript"/>
          <w:lang w:val="en-US"/>
        </w:rPr>
        <w:t>1</w:t>
      </w:r>
      <w:r w:rsidRPr="002A6346">
        <w:rPr>
          <w:szCs w:val="24"/>
          <w:lang w:val="en-US"/>
        </w:rPr>
        <w:t xml:space="preserve">Makarov M.A., </w:t>
      </w:r>
      <w:r w:rsidRPr="002A6346">
        <w:rPr>
          <w:bCs w:val="0"/>
          <w:szCs w:val="24"/>
          <w:vertAlign w:val="superscript"/>
          <w:lang w:val="en-US"/>
        </w:rPr>
        <w:t>1,2</w:t>
      </w:r>
      <w:r w:rsidRPr="002A6346">
        <w:rPr>
          <w:szCs w:val="24"/>
          <w:lang w:val="en-US"/>
        </w:rPr>
        <w:t xml:space="preserve">Popov S.S., </w:t>
      </w:r>
      <w:r w:rsidRPr="002A6346">
        <w:rPr>
          <w:bCs w:val="0"/>
          <w:szCs w:val="24"/>
          <w:vertAlign w:val="superscript"/>
          <w:lang w:val="en-US"/>
        </w:rPr>
        <w:t>1</w:t>
      </w:r>
      <w:r w:rsidRPr="002A6346">
        <w:rPr>
          <w:szCs w:val="24"/>
          <w:lang w:val="en-US"/>
        </w:rPr>
        <w:t xml:space="preserve">Rovenskikh A.F., </w:t>
      </w:r>
      <w:r w:rsidRPr="002A6346">
        <w:rPr>
          <w:bCs w:val="0"/>
          <w:szCs w:val="24"/>
          <w:vertAlign w:val="superscript"/>
          <w:lang w:val="en-US"/>
        </w:rPr>
        <w:t>1,2</w:t>
      </w:r>
      <w:r w:rsidRPr="002A6346">
        <w:rPr>
          <w:szCs w:val="24"/>
          <w:lang w:val="en-US"/>
        </w:rPr>
        <w:t xml:space="preserve">Samtsov D.A., </w:t>
      </w:r>
      <w:r w:rsidRPr="002A6346">
        <w:rPr>
          <w:bCs w:val="0"/>
          <w:szCs w:val="24"/>
          <w:vertAlign w:val="superscript"/>
          <w:lang w:val="en-US"/>
        </w:rPr>
        <w:t>1,2</w:t>
      </w:r>
      <w:r>
        <w:rPr>
          <w:bCs w:val="0"/>
          <w:szCs w:val="24"/>
          <w:vertAlign w:val="superscript"/>
          <w:lang w:val="en-US"/>
        </w:rPr>
        <w:t xml:space="preserve"> </w:t>
      </w:r>
      <w:r w:rsidRPr="002A6346">
        <w:rPr>
          <w:szCs w:val="24"/>
          <w:lang w:val="en-US"/>
        </w:rPr>
        <w:t>Sandalov E.S.</w:t>
      </w:r>
      <w:r w:rsidRPr="002A6346">
        <w:rPr>
          <w:bCs w:val="0"/>
          <w:szCs w:val="24"/>
          <w:lang w:val="en-US"/>
        </w:rPr>
        <w:t xml:space="preserve">, </w:t>
      </w:r>
      <w:r w:rsidRPr="002A6346">
        <w:rPr>
          <w:bCs w:val="0"/>
          <w:szCs w:val="24"/>
          <w:vertAlign w:val="superscript"/>
          <w:lang w:val="en-US"/>
        </w:rPr>
        <w:t>1,2</w:t>
      </w:r>
      <w:r w:rsidRPr="002A6346">
        <w:rPr>
          <w:szCs w:val="24"/>
          <w:lang w:val="en-US"/>
        </w:rPr>
        <w:t xml:space="preserve">Sinitsky S.L., </w:t>
      </w:r>
      <w:r w:rsidRPr="002A6346">
        <w:rPr>
          <w:bCs w:val="0"/>
          <w:szCs w:val="24"/>
          <w:vertAlign w:val="superscript"/>
          <w:lang w:val="en-US"/>
        </w:rPr>
        <w:t>1,2</w:t>
      </w:r>
      <w:r w:rsidRPr="002A6346">
        <w:rPr>
          <w:bCs w:val="0"/>
          <w:szCs w:val="24"/>
          <w:lang w:val="en-US"/>
        </w:rPr>
        <w:t xml:space="preserve">Stepanov V.D., </w:t>
      </w:r>
      <w:r w:rsidRPr="002A6346">
        <w:rPr>
          <w:bCs w:val="0"/>
          <w:szCs w:val="24"/>
          <w:vertAlign w:val="superscript"/>
          <w:lang w:val="en-US"/>
        </w:rPr>
        <w:t>1,2</w:t>
      </w:r>
      <w:r w:rsidRPr="002A6346">
        <w:rPr>
          <w:bCs w:val="0"/>
          <w:szCs w:val="24"/>
          <w:lang w:val="en-US"/>
        </w:rPr>
        <w:t xml:space="preserve">Glinsky V.V. and </w:t>
      </w:r>
      <w:r w:rsidRPr="002A6346">
        <w:rPr>
          <w:bCs w:val="0"/>
          <w:szCs w:val="24"/>
          <w:vertAlign w:val="superscript"/>
          <w:lang w:val="en-US"/>
        </w:rPr>
        <w:t>1,2</w:t>
      </w:r>
      <w:r w:rsidRPr="002A6346">
        <w:rPr>
          <w:bCs w:val="0"/>
          <w:szCs w:val="24"/>
          <w:lang w:val="en-US"/>
        </w:rPr>
        <w:t>Timofeev I.V.</w:t>
      </w:r>
    </w:p>
    <w:p w:rsidR="002A6346" w:rsidRDefault="002A6346" w:rsidP="002A6346">
      <w:pPr>
        <w:pStyle w:val="Zv-Organization"/>
        <w:rPr>
          <w:lang w:val="en-US"/>
        </w:rPr>
      </w:pPr>
      <w:r w:rsidRPr="00766A9E">
        <w:rPr>
          <w:vertAlign w:val="superscript"/>
          <w:lang w:val="en-US"/>
        </w:rPr>
        <w:t>1</w:t>
      </w:r>
      <w:r w:rsidRPr="00766A9E">
        <w:rPr>
          <w:lang w:val="en-US"/>
        </w:rPr>
        <w:t xml:space="preserve">Budker Institute of Nuclear Physics SB RAS, Novosibirsk, Russia, </w:t>
      </w:r>
      <w:hyperlink r:id="rId8" w:history="1">
        <w:r w:rsidRPr="00286149">
          <w:rPr>
            <w:rStyle w:val="a7"/>
            <w:lang w:val="en-US"/>
          </w:rPr>
          <w:t>press@inp.nsk.su</w:t>
        </w:r>
      </w:hyperlink>
      <w:r>
        <w:rPr>
          <w:lang w:val="en-US"/>
        </w:rPr>
        <w:br/>
      </w:r>
      <w:r w:rsidRPr="00766A9E">
        <w:rPr>
          <w:vertAlign w:val="superscript"/>
          <w:lang w:val="en-US"/>
        </w:rPr>
        <w:t>2</w:t>
      </w:r>
      <w:r w:rsidRPr="00766A9E">
        <w:rPr>
          <w:lang w:val="en-US"/>
        </w:rPr>
        <w:t xml:space="preserve">Novosibirsk State University, Novosibirsk, Russia, </w:t>
      </w:r>
      <w:hyperlink r:id="rId9" w:history="1">
        <w:r w:rsidRPr="00286149">
          <w:rPr>
            <w:rStyle w:val="a7"/>
            <w:lang w:val="en-US"/>
          </w:rPr>
          <w:t>press@nsu.ru</w:t>
        </w:r>
      </w:hyperlink>
    </w:p>
    <w:p w:rsidR="002A6346" w:rsidRPr="00CB5B1C" w:rsidRDefault="002A6346" w:rsidP="002A6346">
      <w:pPr>
        <w:pStyle w:val="Zv-bodyreport"/>
        <w:rPr>
          <w:lang w:val="en-US"/>
        </w:rPr>
      </w:pPr>
      <w:r w:rsidRPr="00CB5B1C">
        <w:rPr>
          <w:lang w:val="en-US"/>
        </w:rPr>
        <w:t xml:space="preserve">Experimental studies on the mechanisms of submillimeter waves (0.1–0.8 THz) generation during collective relaxation of a relativistic electron beam (REB) with parameters 0.6 MeV / 20 kA / 6 </w:t>
      </w:r>
      <w:r w:rsidRPr="002A6346">
        <w:t>μ</w:t>
      </w:r>
      <w:r w:rsidRPr="00CB5B1C">
        <w:rPr>
          <w:lang w:val="en-US"/>
        </w:rPr>
        <w:t>s, are carried out on a specialized facility GOL-PET [1]. The experiments are carried out at a plasma density of ~ 1 1015 cm-3 in a magnetic field of 4.7 T, when a plasma column 250 cm long has a diameter of 6 cm, and a beam with a current density of (2-4) kA / cm2 is limited in diameter of 4 cm.</w:t>
      </w:r>
    </w:p>
    <w:p w:rsidR="002A6346" w:rsidRPr="00CB5B1C" w:rsidRDefault="002A6346" w:rsidP="002A6346">
      <w:pPr>
        <w:pStyle w:val="Zv-bodyreport"/>
        <w:rPr>
          <w:lang w:val="en-US"/>
        </w:rPr>
      </w:pPr>
      <w:r w:rsidRPr="00CB5B1C">
        <w:rPr>
          <w:lang w:val="en-US"/>
        </w:rPr>
        <w:t xml:space="preserve">The report presents the results of experiments on studying the characteristics of the generated radiation flux in the frequency range (0.15-0.6) THz, emerging along the axis of the beam-plasma system. The flux is recorded after it leaves the vacuum to the atmosphere through a fluoroplastic window.The experiments are carried out under conditions when the plasma density distribution along the axis of the plasma column varies in the region of the decreasing magnetic field in the vicinity of the graphite collector that absorbs the beam passed through the plasma. Experiments have shown that if the plasma has a high density in this area, then the power in the radiation flux ejected through the central hole in this collector with a diameter of 18 cm is 4 MW [2]. When, before the beam injection, a low-density plasma is created in this section, the power in the radiation flux rises to the level of tens of megawatts [3]. The text describes the results of recording the spectral composition dynamics of the radiation flux ejected into the atmosphere for these two variants of the density distribution. A discussion of the patterns established in this series of experiments is also provided. </w:t>
      </w:r>
    </w:p>
    <w:p w:rsidR="002A6346" w:rsidRPr="00766A9E" w:rsidRDefault="002A6346" w:rsidP="002A6346">
      <w:pPr>
        <w:pStyle w:val="Zv-TitleReferences-en"/>
        <w:rPr>
          <w:lang w:val="en-US"/>
        </w:rPr>
      </w:pPr>
      <w:r w:rsidRPr="00766A9E">
        <w:rPr>
          <w:lang w:val="en-US"/>
        </w:rPr>
        <w:t>References</w:t>
      </w:r>
    </w:p>
    <w:p w:rsidR="002A6346" w:rsidRPr="00CB5B1C" w:rsidRDefault="002A6346" w:rsidP="002A6346">
      <w:pPr>
        <w:pStyle w:val="Zv-References-ru"/>
        <w:rPr>
          <w:lang w:val="en-US"/>
        </w:rPr>
      </w:pPr>
      <w:r w:rsidRPr="00CB5B1C">
        <w:rPr>
          <w:lang w:val="en-US"/>
        </w:rPr>
        <w:t>Arzhannikov A.V., Annenkov V.V., Burmasov V.S. et al. // EPJ Web of Conferences. – EDP Sciences, 2018, vol. 195, p. 01002.</w:t>
      </w:r>
    </w:p>
    <w:p w:rsidR="002A6346" w:rsidRPr="00CB5B1C" w:rsidRDefault="002A6346" w:rsidP="002A6346">
      <w:pPr>
        <w:pStyle w:val="Zv-References-ru"/>
        <w:rPr>
          <w:lang w:val="en-US"/>
        </w:rPr>
      </w:pPr>
      <w:r w:rsidRPr="00CB5B1C">
        <w:rPr>
          <w:rFonts w:eastAsia="F16"/>
          <w:lang w:val="en-US"/>
        </w:rPr>
        <w:t xml:space="preserve">Arzhannikov A.V., Ivanov I.A., Kasatov A.A. et al. </w:t>
      </w:r>
      <w:r w:rsidRPr="00CB5B1C">
        <w:rPr>
          <w:lang w:val="en-US"/>
        </w:rPr>
        <w:t xml:space="preserve">Plasma Phys. Control. Fusion 62, </w:t>
      </w:r>
      <w:hyperlink r:id="rId10" w:history="1">
        <w:r w:rsidRPr="00CB5B1C">
          <w:rPr>
            <w:rStyle w:val="a7"/>
            <w:color w:val="auto"/>
            <w:szCs w:val="21"/>
            <w:u w:val="none"/>
            <w:bdr w:val="none" w:sz="0" w:space="0" w:color="auto" w:frame="1"/>
            <w:lang w:val="en-US"/>
          </w:rPr>
          <w:t>N 4</w:t>
        </w:r>
      </w:hyperlink>
      <w:r w:rsidRPr="00CB5B1C">
        <w:rPr>
          <w:lang w:val="en-US"/>
        </w:rPr>
        <w:t xml:space="preserve"> (2020) 045002.</w:t>
      </w:r>
    </w:p>
    <w:p w:rsidR="002A6346" w:rsidRPr="00CB5B1C" w:rsidRDefault="002A6346" w:rsidP="002A6346">
      <w:pPr>
        <w:pStyle w:val="Zv-References-ru"/>
        <w:rPr>
          <w:lang w:val="en-US"/>
        </w:rPr>
      </w:pPr>
      <w:r w:rsidRPr="00CB5B1C">
        <w:rPr>
          <w:lang w:val="en-US"/>
        </w:rPr>
        <w:t>Arzhannikov A., Annenkov V., Ivanov I. et al. 2020 J. Phys.: Conf. Ser. 1647 012010</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C2" w:rsidRDefault="00DF17C2">
      <w:r>
        <w:separator/>
      </w:r>
    </w:p>
  </w:endnote>
  <w:endnote w:type="continuationSeparator" w:id="0">
    <w:p w:rsidR="00DF17C2" w:rsidRDefault="00DF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16">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63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63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60D4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C2" w:rsidRDefault="00DF17C2">
      <w:r>
        <w:separator/>
      </w:r>
    </w:p>
  </w:footnote>
  <w:footnote w:type="continuationSeparator" w:id="0">
    <w:p w:rsidR="00DF17C2" w:rsidRDefault="00DF17C2">
      <w:r>
        <w:continuationSeparator/>
      </w:r>
    </w:p>
  </w:footnote>
  <w:footnote w:id="1">
    <w:p w:rsidR="00CB5B1C" w:rsidRPr="00CB5B1C" w:rsidRDefault="00CB5B1C">
      <w:pPr>
        <w:pStyle w:val="a8"/>
        <w:rPr>
          <w:sz w:val="22"/>
          <w:szCs w:val="22"/>
          <w:lang w:val="en-US"/>
        </w:rPr>
      </w:pPr>
      <w:r w:rsidRPr="00CB5B1C">
        <w:rPr>
          <w:rStyle w:val="aa"/>
          <w:sz w:val="22"/>
          <w:szCs w:val="22"/>
          <w:lang w:val="en-US"/>
        </w:rPr>
        <w:t>*)</w:t>
      </w:r>
      <w:r w:rsidRPr="00CB5B1C">
        <w:rPr>
          <w:sz w:val="22"/>
          <w:szCs w:val="22"/>
          <w:lang w:val="en-US"/>
        </w:rPr>
        <w:t xml:space="preserve">  </w:t>
      </w:r>
      <w:hyperlink r:id="rId1" w:history="1">
        <w:r w:rsidRPr="00CB5B1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863A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A7E6C"/>
    <w:multiLevelType w:val="hybridMultilevel"/>
    <w:tmpl w:val="A106D7DE"/>
    <w:lvl w:ilvl="0" w:tplc="F85A47FA">
      <w:start w:val="1"/>
      <w:numFmt w:val="decimal"/>
      <w:lvlText w:val="[%1]"/>
      <w:lvlJc w:val="left"/>
      <w:pPr>
        <w:tabs>
          <w:tab w:val="num" w:pos="567"/>
        </w:tabs>
        <w:ind w:left="567" w:hanging="567"/>
      </w:pPr>
      <w:rPr>
        <w:rFonts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A4B1C"/>
    <w:rsid w:val="00043701"/>
    <w:rsid w:val="000B3F9B"/>
    <w:rsid w:val="000C657D"/>
    <w:rsid w:val="000C7078"/>
    <w:rsid w:val="000D76E9"/>
    <w:rsid w:val="000E495B"/>
    <w:rsid w:val="001C0CCB"/>
    <w:rsid w:val="00205708"/>
    <w:rsid w:val="00220629"/>
    <w:rsid w:val="0023083F"/>
    <w:rsid w:val="00247225"/>
    <w:rsid w:val="002A6346"/>
    <w:rsid w:val="00360D4B"/>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A4B1C"/>
    <w:rsid w:val="007B09C9"/>
    <w:rsid w:val="007B6378"/>
    <w:rsid w:val="007E06CE"/>
    <w:rsid w:val="00802D35"/>
    <w:rsid w:val="008306AF"/>
    <w:rsid w:val="008520F9"/>
    <w:rsid w:val="008850EF"/>
    <w:rsid w:val="00906FF7"/>
    <w:rsid w:val="009D3AC4"/>
    <w:rsid w:val="00A863A1"/>
    <w:rsid w:val="00AE6185"/>
    <w:rsid w:val="00B622ED"/>
    <w:rsid w:val="00B9584E"/>
    <w:rsid w:val="00C103CD"/>
    <w:rsid w:val="00C232A0"/>
    <w:rsid w:val="00C5751F"/>
    <w:rsid w:val="00CB5B1C"/>
    <w:rsid w:val="00CC067F"/>
    <w:rsid w:val="00D47F19"/>
    <w:rsid w:val="00D900FB"/>
    <w:rsid w:val="00D92E54"/>
    <w:rsid w:val="00DF17C2"/>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34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2A6346"/>
    <w:rPr>
      <w:color w:val="0000FF"/>
      <w:u w:val="single"/>
    </w:rPr>
  </w:style>
  <w:style w:type="paragraph" w:customStyle="1" w:styleId="Authors">
    <w:name w:val="Authors"/>
    <w:basedOn w:val="a"/>
    <w:next w:val="a"/>
    <w:rsid w:val="002A6346"/>
    <w:pPr>
      <w:framePr w:w="9072" w:hSpace="187" w:vSpace="187" w:wrap="notBeside" w:vAnchor="text" w:hAnchor="page" w:xAlign="center" w:y="1"/>
      <w:autoSpaceDE w:val="0"/>
      <w:autoSpaceDN w:val="0"/>
      <w:spacing w:after="320"/>
      <w:jc w:val="center"/>
    </w:pPr>
    <w:rPr>
      <w:sz w:val="22"/>
      <w:szCs w:val="22"/>
      <w:lang w:val="en-US" w:eastAsia="en-US"/>
    </w:rPr>
  </w:style>
  <w:style w:type="paragraph" w:styleId="a8">
    <w:name w:val="footnote text"/>
    <w:basedOn w:val="a"/>
    <w:link w:val="a9"/>
    <w:rsid w:val="00CB5B1C"/>
    <w:rPr>
      <w:sz w:val="20"/>
      <w:szCs w:val="20"/>
    </w:rPr>
  </w:style>
  <w:style w:type="character" w:customStyle="1" w:styleId="a9">
    <w:name w:val="Текст сноски Знак"/>
    <w:basedOn w:val="a0"/>
    <w:link w:val="a8"/>
    <w:rsid w:val="00CB5B1C"/>
  </w:style>
  <w:style w:type="character" w:styleId="aa">
    <w:name w:val="footnote reference"/>
    <w:basedOn w:val="a0"/>
    <w:rsid w:val="00CB5B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inp.nsk.s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opscience.iop.org/issue/0741-3335/62/4" TargetMode="External"/><Relationship Id="rId4" Type="http://schemas.openxmlformats.org/officeDocument/2006/relationships/settings" Target="settings.xml"/><Relationship Id="rId9" Type="http://schemas.openxmlformats.org/officeDocument/2006/relationships/hyperlink" Target="mailto:press@ns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M-Arzhan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D8FEC-917F-49EC-9298-F18719E7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19</TotalTime>
  <Pages>1</Pages>
  <Words>415</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SPECTRAL COMPOSITION DYNAMICS OF TERAHERTZ RADIATION FLUX DURING REB RELAXATION IN THE PLASMA COLUMN UNDER DIFFERENT BOUNDARY CONDITIONS AT THE BEAM EXIT FROM THE PLASMA</dc:title>
  <dc:creator/>
  <cp:lastModifiedBy>Сатунин</cp:lastModifiedBy>
  <cp:revision>4</cp:revision>
  <cp:lastPrinted>1601-01-01T00:00:00Z</cp:lastPrinted>
  <dcterms:created xsi:type="dcterms:W3CDTF">2021-01-28T11:55:00Z</dcterms:created>
  <dcterms:modified xsi:type="dcterms:W3CDTF">2021-06-04T11:53:00Z</dcterms:modified>
</cp:coreProperties>
</file>