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6D" w:rsidRPr="00A5389A" w:rsidRDefault="004D216D" w:rsidP="00A5389A">
      <w:pPr>
        <w:pStyle w:val="Zv-Titlereport"/>
        <w:spacing w:line="235" w:lineRule="auto"/>
      </w:pPr>
      <w:r w:rsidRPr="00081666">
        <w:t>Исследование предсказания срыва в плазме токамака с применением свёрточных нейронных сетей</w:t>
      </w:r>
      <w:r w:rsidR="00A5389A" w:rsidRPr="00A5389A">
        <w:t xml:space="preserve"> </w:t>
      </w:r>
      <w:r w:rsidR="00A5389A">
        <w:rPr>
          <w:rStyle w:val="ab"/>
        </w:rPr>
        <w:footnoteReference w:customMarkFollows="1" w:id="1"/>
        <w:t>*)</w:t>
      </w:r>
    </w:p>
    <w:p w:rsidR="004D216D" w:rsidRPr="004D216D" w:rsidRDefault="004D216D" w:rsidP="00A5389A">
      <w:pPr>
        <w:pStyle w:val="Zv-Author"/>
        <w:spacing w:line="235" w:lineRule="auto"/>
      </w:pPr>
      <w:r w:rsidRPr="004D216D">
        <w:rPr>
          <w:u w:val="single"/>
        </w:rPr>
        <w:t>Капралов В.Г.</w:t>
      </w:r>
      <w:r w:rsidRPr="004D216D">
        <w:t>, Богданов А.М., Новохадская О.Е., Соловьев К.В., Кривошеев А.Н.</w:t>
      </w:r>
    </w:p>
    <w:p w:rsidR="004D216D" w:rsidRPr="004D216D" w:rsidRDefault="004D216D" w:rsidP="00A5389A">
      <w:pPr>
        <w:pStyle w:val="Zv-Organization"/>
        <w:spacing w:line="235" w:lineRule="auto"/>
        <w:rPr>
          <w:kern w:val="24"/>
        </w:rPr>
      </w:pPr>
      <w:r>
        <w:t>СПбПУ</w:t>
      </w:r>
      <w:r w:rsidRPr="00102FB2">
        <w:rPr>
          <w:kern w:val="24"/>
        </w:rPr>
        <w:t>,</w:t>
      </w:r>
      <w:r>
        <w:rPr>
          <w:kern w:val="24"/>
        </w:rPr>
        <w:t xml:space="preserve"> Санкт-Петербург, Россия</w:t>
      </w:r>
      <w:r w:rsidRPr="00102FB2">
        <w:rPr>
          <w:kern w:val="24"/>
        </w:rPr>
        <w:t xml:space="preserve">, </w:t>
      </w:r>
      <w:hyperlink r:id="rId8" w:history="1">
        <w:r w:rsidRPr="007D146C">
          <w:rPr>
            <w:rStyle w:val="a8"/>
            <w:kern w:val="24"/>
            <w:lang w:val="en-US"/>
          </w:rPr>
          <w:t>v</w:t>
        </w:r>
        <w:r w:rsidRPr="007D146C">
          <w:rPr>
            <w:rStyle w:val="a8"/>
            <w:kern w:val="24"/>
          </w:rPr>
          <w:t>.</w:t>
        </w:r>
        <w:r w:rsidRPr="007D146C">
          <w:rPr>
            <w:rStyle w:val="a8"/>
            <w:kern w:val="24"/>
            <w:lang w:val="en-US"/>
          </w:rPr>
          <w:t>kapralov</w:t>
        </w:r>
        <w:r w:rsidRPr="007D146C">
          <w:rPr>
            <w:rStyle w:val="a8"/>
            <w:kern w:val="24"/>
          </w:rPr>
          <w:t>@</w:t>
        </w:r>
        <w:r w:rsidRPr="007D146C">
          <w:rPr>
            <w:rStyle w:val="a8"/>
            <w:kern w:val="24"/>
            <w:lang w:val="en-US"/>
          </w:rPr>
          <w:t>spbstu</w:t>
        </w:r>
        <w:r w:rsidRPr="007D146C">
          <w:rPr>
            <w:rStyle w:val="a8"/>
            <w:kern w:val="24"/>
          </w:rPr>
          <w:t>.</w:t>
        </w:r>
        <w:r w:rsidRPr="007D146C">
          <w:rPr>
            <w:rStyle w:val="a8"/>
            <w:kern w:val="24"/>
            <w:lang w:val="en-US"/>
          </w:rPr>
          <w:t>ru</w:t>
        </w:r>
      </w:hyperlink>
    </w:p>
    <w:p w:rsidR="004D216D" w:rsidRPr="004D216D" w:rsidRDefault="004D216D" w:rsidP="00A5389A">
      <w:pPr>
        <w:pStyle w:val="Zv-bodyreport"/>
        <w:spacing w:line="235" w:lineRule="auto"/>
      </w:pPr>
      <w:r w:rsidRPr="004D216D">
        <w:t>В докладе представлено развитие следящей системы для управления гашением плазменного разряда. Для запуска системы предотвращения и смягчения срыва необходимо предсказать его приближение с достаточным упреждением [1, 2]. Для этого необходимо в течение всего разряда вырабатывать сигнал вероятности срыва через определенный временной промежуток и при превышении порогового значения вероятности формировать триггер запуска системы гашения плазменного разряда.</w:t>
      </w:r>
    </w:p>
    <w:p w:rsidR="004D216D" w:rsidRPr="004D216D" w:rsidRDefault="004D216D" w:rsidP="00A5389A">
      <w:pPr>
        <w:pStyle w:val="Zv-bodyreport"/>
        <w:spacing w:line="235" w:lineRule="auto"/>
      </w:pPr>
      <w:r w:rsidRPr="004D216D">
        <w:t>В настоящее время ведется разработка системы массивной газовой инжекции с подвижным клапаном, для активации которого требуется время около 4 мс. Это требует предсказания срыва плазмы с упреждением не менее 5 мс.</w:t>
      </w:r>
    </w:p>
    <w:p w:rsidR="004D216D" w:rsidRPr="004D216D" w:rsidRDefault="004D216D" w:rsidP="00A5389A">
      <w:pPr>
        <w:pStyle w:val="Zv-bodyreport"/>
        <w:spacing w:line="235" w:lineRule="auto"/>
      </w:pPr>
      <w:r w:rsidRPr="004D216D">
        <w:t>Первый подготовительный этап включает отбор измеряемых сигналов и расчетных величин, которые будут использоваться в реальном времени для вычисления вероятности срыва  через заданное время [3, 4]. Сначала определяются доступные для измерения в реальном времени сигналы установки и расчетные параметры. Затем выполняется корреляционный анализ с тем, чтобы выявить сильно коррелирующие величины и оставить в формируемом наборе только одну из них.</w:t>
      </w:r>
    </w:p>
    <w:p w:rsidR="004D216D" w:rsidRPr="004D216D" w:rsidRDefault="004D216D" w:rsidP="00A5389A">
      <w:pPr>
        <w:pStyle w:val="Zv-bodyreport"/>
        <w:spacing w:line="235" w:lineRule="auto"/>
      </w:pPr>
      <w:r w:rsidRPr="004D216D">
        <w:t>Следующий этап включает выбор топологии нейронной сети. В докладе предлагается многослойная архитектура, состоящая из двух свёрточных по времени слоев и последующим персептроном. Предложенная топология одновременно обеспечивает сжатие информации и подавление рассогласований на входных слоях.</w:t>
      </w:r>
    </w:p>
    <w:p w:rsidR="004D216D" w:rsidRPr="004D216D" w:rsidRDefault="004D216D" w:rsidP="00A5389A">
      <w:pPr>
        <w:pStyle w:val="Zv-bodyreport"/>
        <w:spacing w:line="235" w:lineRule="auto"/>
      </w:pPr>
      <w:r w:rsidRPr="004D216D">
        <w:t>После выбора набора сигналов и топологии нейронной сети выполняется формирование набора обучающих примеров. По обучающим примерам происходит настройка параметров сети и ее весовых коэффициентов. Обучение занимает длительное время, но во время применения нейронной сети результат можно получать в режиме реального времени. Для дополнительного ускорения вычислений  применяются алгоритмы с усеченным временем вычислений.</w:t>
      </w:r>
    </w:p>
    <w:p w:rsidR="004D216D" w:rsidRPr="004D216D" w:rsidRDefault="004D216D" w:rsidP="00A5389A">
      <w:pPr>
        <w:pStyle w:val="Zv-bodyreport"/>
        <w:spacing w:line="235" w:lineRule="auto"/>
      </w:pPr>
      <w:r w:rsidRPr="004D216D">
        <w:t>Разработанный программный комплекс состоит из нескольких блоков. Один блок подготавливает обучающие примеры по архивным данным. Другой блок реализует собственно нейронную сеть описанной топологии. Третий блок обеспечивает обучение и верификацию нейронной сети.</w:t>
      </w:r>
    </w:p>
    <w:p w:rsidR="004D216D" w:rsidRPr="004D216D" w:rsidRDefault="004D216D" w:rsidP="00A5389A">
      <w:pPr>
        <w:pStyle w:val="Zv-bodyreport"/>
        <w:spacing w:line="235" w:lineRule="auto"/>
      </w:pPr>
      <w:r w:rsidRPr="004D216D">
        <w:t>В итоге предложена методика применения сверточной нейронной сети для решения задачи предсказания срыва плазменного разряда. Кроме того, формируемый сигнал вероятности срыва можно использовать и для других целей, например, формирования сигналов готовности для другого оборудования или управления его положением для защиты от тепловых или ионизирующих излучений</w:t>
      </w:r>
    </w:p>
    <w:p w:rsidR="004D216D" w:rsidRPr="004D216D" w:rsidRDefault="004D216D" w:rsidP="00A5389A">
      <w:pPr>
        <w:pStyle w:val="Zv-bodyreport"/>
        <w:spacing w:line="235" w:lineRule="auto"/>
      </w:pPr>
      <w:r w:rsidRPr="004D216D">
        <w:t>Настоящая работа поддержана Министерством науки и высшего образования РФ в рамках государственного задания в сфере науки по проекту №0784-2020-0020 с использованием ФЦКП "Материаловедение и диагностика в передовых технологиях" (проект RFMEFI62119X0021), включающего УНУ "Сферический токамак Глобус-М".</w:t>
      </w:r>
    </w:p>
    <w:p w:rsidR="004D216D" w:rsidRPr="004D216D" w:rsidRDefault="004D216D" w:rsidP="00A5389A">
      <w:pPr>
        <w:pStyle w:val="Zv-TitleReferences-ru"/>
        <w:spacing w:line="235" w:lineRule="auto"/>
      </w:pPr>
      <w:r w:rsidRPr="004D216D">
        <w:t>Литература</w:t>
      </w:r>
    </w:p>
    <w:p w:rsidR="004D216D" w:rsidRPr="00FD7456" w:rsidRDefault="004D216D" w:rsidP="00A5389A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A5389A">
        <w:rPr>
          <w:lang w:val="en-US"/>
        </w:rPr>
        <w:t xml:space="preserve">Kapralov V.G. et al., Journal of Physics: Conf. </w:t>
      </w:r>
      <w:r w:rsidRPr="004D216D">
        <w:t xml:space="preserve">Series, 2017, </w:t>
      </w:r>
      <w:r w:rsidRPr="00FD7456">
        <w:rPr>
          <w:b/>
          <w:iCs/>
          <w:kern w:val="24"/>
          <w:lang w:val="en-US"/>
        </w:rPr>
        <w:t>907</w:t>
      </w:r>
      <w:r w:rsidRPr="004D216D">
        <w:t xml:space="preserve">, 1, 012010. </w:t>
      </w:r>
    </w:p>
    <w:p w:rsidR="004D216D" w:rsidRPr="00FD7456" w:rsidRDefault="004D216D" w:rsidP="00A5389A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4D216D">
        <w:rPr>
          <w:lang w:val="en-US"/>
        </w:rPr>
        <w:t>Dremin M</w:t>
      </w:r>
      <w:r>
        <w:rPr>
          <w:lang w:val="en-US"/>
        </w:rPr>
        <w:t>.</w:t>
      </w:r>
      <w:r w:rsidRPr="004D216D">
        <w:rPr>
          <w:lang w:val="en-US"/>
        </w:rPr>
        <w:t xml:space="preserve">M et al., Problems of Atomic Science and Tech., Ser. Th. Fusion, 2012 , </w:t>
      </w:r>
      <w:r w:rsidRPr="00FD7456">
        <w:rPr>
          <w:b/>
          <w:kern w:val="24"/>
          <w:lang w:val="en-US"/>
        </w:rPr>
        <w:t>4</w:t>
      </w:r>
      <w:r w:rsidRPr="004D216D">
        <w:rPr>
          <w:lang w:val="en-US"/>
        </w:rPr>
        <w:t>, 58.</w:t>
      </w:r>
    </w:p>
    <w:p w:rsidR="004D216D" w:rsidRPr="00FD7456" w:rsidRDefault="004D216D" w:rsidP="00A5389A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4D216D">
        <w:rPr>
          <w:lang w:val="en-US"/>
        </w:rPr>
        <w:t xml:space="preserve">Kapralov V.G. et al., Journal of Physics: Conf. Series, 2017, </w:t>
      </w:r>
      <w:r w:rsidRPr="00FD7456">
        <w:rPr>
          <w:b/>
          <w:iCs/>
          <w:kern w:val="24"/>
          <w:lang w:val="en-US"/>
        </w:rPr>
        <w:t>907</w:t>
      </w:r>
      <w:r w:rsidRPr="004D216D">
        <w:rPr>
          <w:lang w:val="en-US"/>
        </w:rPr>
        <w:t xml:space="preserve">, 1, 012027. </w:t>
      </w:r>
    </w:p>
    <w:p w:rsidR="004D216D" w:rsidRPr="00FD7456" w:rsidRDefault="004D216D" w:rsidP="00A5389A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FD7456">
        <w:rPr>
          <w:lang w:val="en-US"/>
        </w:rPr>
        <w:t xml:space="preserve">Gusev V.R. et. al., Proc of the 21st IAEA FEC. 2006, </w:t>
      </w:r>
      <w:r w:rsidRPr="00FD7456">
        <w:rPr>
          <w:b/>
          <w:lang w:val="en-US"/>
        </w:rPr>
        <w:t>16</w:t>
      </w:r>
      <w:r w:rsidRPr="00FD7456">
        <w:rPr>
          <w:lang w:val="en-US"/>
        </w:rPr>
        <w:t>, 21</w:t>
      </w:r>
      <w:r w:rsidRPr="00FD7456">
        <w:rPr>
          <w:lang w:val="en-US"/>
        </w:rPr>
        <w:tab/>
      </w:r>
    </w:p>
    <w:sectPr w:rsidR="004D216D" w:rsidRPr="00FD745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FD" w:rsidRDefault="00257EFD">
      <w:r>
        <w:separator/>
      </w:r>
    </w:p>
  </w:endnote>
  <w:endnote w:type="continuationSeparator" w:id="0">
    <w:p w:rsidR="00257EFD" w:rsidRDefault="00257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24A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24A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64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FD" w:rsidRDefault="00257EFD">
      <w:r>
        <w:separator/>
      </w:r>
    </w:p>
  </w:footnote>
  <w:footnote w:type="continuationSeparator" w:id="0">
    <w:p w:rsidR="00257EFD" w:rsidRDefault="00257EFD">
      <w:r>
        <w:continuationSeparator/>
      </w:r>
    </w:p>
  </w:footnote>
  <w:footnote w:id="1">
    <w:p w:rsidR="00A5389A" w:rsidRPr="00A5389A" w:rsidRDefault="00A5389A">
      <w:pPr>
        <w:pStyle w:val="a9"/>
        <w:rPr>
          <w:sz w:val="22"/>
          <w:szCs w:val="22"/>
          <w:lang w:val="en-US"/>
        </w:rPr>
      </w:pPr>
      <w:r w:rsidRPr="00A5389A">
        <w:rPr>
          <w:rStyle w:val="ab"/>
          <w:sz w:val="22"/>
          <w:szCs w:val="22"/>
        </w:rPr>
        <w:t>*)</w:t>
      </w:r>
      <w:r w:rsidRPr="00A5389A">
        <w:rPr>
          <w:sz w:val="22"/>
          <w:szCs w:val="22"/>
        </w:rPr>
        <w:t xml:space="preserve">  </w:t>
      </w:r>
      <w:hyperlink r:id="rId1" w:history="1">
        <w:r w:rsidRPr="00A5389A">
          <w:rPr>
            <w:rStyle w:val="a8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7924A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49E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57EFD"/>
    <w:rsid w:val="002A6CD1"/>
    <w:rsid w:val="002D3EBD"/>
    <w:rsid w:val="00352DB2"/>
    <w:rsid w:val="00370072"/>
    <w:rsid w:val="003800F3"/>
    <w:rsid w:val="003A4103"/>
    <w:rsid w:val="003B5B93"/>
    <w:rsid w:val="003C1B47"/>
    <w:rsid w:val="00401388"/>
    <w:rsid w:val="00446025"/>
    <w:rsid w:val="00447ABC"/>
    <w:rsid w:val="004A77D1"/>
    <w:rsid w:val="004B72AA"/>
    <w:rsid w:val="004D216D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924A5"/>
    <w:rsid w:val="007B6378"/>
    <w:rsid w:val="00802D35"/>
    <w:rsid w:val="008E2894"/>
    <w:rsid w:val="0094721E"/>
    <w:rsid w:val="00A5389A"/>
    <w:rsid w:val="00A66876"/>
    <w:rsid w:val="00A71613"/>
    <w:rsid w:val="00AB3459"/>
    <w:rsid w:val="00AD7670"/>
    <w:rsid w:val="00AE49E3"/>
    <w:rsid w:val="00B622ED"/>
    <w:rsid w:val="00B6264F"/>
    <w:rsid w:val="00B9584E"/>
    <w:rsid w:val="00BD05EF"/>
    <w:rsid w:val="00BD7364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link w:val="Zv-Author"/>
    <w:rsid w:val="004D216D"/>
    <w:rPr>
      <w:bCs/>
      <w:iCs/>
      <w:sz w:val="24"/>
    </w:rPr>
  </w:style>
  <w:style w:type="paragraph" w:customStyle="1" w:styleId="a7">
    <w:name w:val="Знак Знак"/>
    <w:basedOn w:val="a"/>
    <w:next w:val="a"/>
    <w:rsid w:val="004D21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rsid w:val="004D216D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A5389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5389A"/>
  </w:style>
  <w:style w:type="character" w:styleId="ab">
    <w:name w:val="footnote reference"/>
    <w:basedOn w:val="a0"/>
    <w:rsid w:val="00A538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apralov@spbst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CI-Kapra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8A1A8-E555-481F-B3D0-20DA8835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427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ПРЕДСКАЗАНИЯ СРЫВА В ПЛАЗМЕ ТОКАМАКА С ПРИМЕНЕНИЕМ СВЁРТОЧНЫХ НЕЙРОННЫХ СЕТЕЙ</dc:title>
  <dc:creator/>
  <cp:lastModifiedBy>Сатунин</cp:lastModifiedBy>
  <cp:revision>4</cp:revision>
  <cp:lastPrinted>1601-01-01T00:00:00Z</cp:lastPrinted>
  <dcterms:created xsi:type="dcterms:W3CDTF">2021-02-15T14:20:00Z</dcterms:created>
  <dcterms:modified xsi:type="dcterms:W3CDTF">2021-05-25T11:04:00Z</dcterms:modified>
</cp:coreProperties>
</file>