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D2" w:rsidRPr="006B3257" w:rsidRDefault="00A30CD2" w:rsidP="006B3257">
      <w:pPr>
        <w:pStyle w:val="Zv-Titlereport"/>
        <w:spacing w:line="235" w:lineRule="auto"/>
      </w:pPr>
      <w:r>
        <w:t>САМОСОГЛАСОВАННАЯ МОДЕЛЬ ВЫНУЖДЕННОГО РАССЕЯНИЯ МАНДЕЛЬШТАМА-БРИЛЛЮЭНА БЕЗ ЭМПИРИЧЕСКИХ ФАКТОРОВ ДЛЯ МНОГОПУЧКОВОГО ОБЛУЧЕНИЯ СФЕРИЧЕСКОЙ ЛАЗЕРНОЙ МИШЕНИ</w:t>
      </w:r>
      <w:r w:rsidR="006B3257" w:rsidRPr="006B3257">
        <w:t xml:space="preserve"> </w:t>
      </w:r>
      <w:r w:rsidR="006B3257">
        <w:rPr>
          <w:rStyle w:val="ab"/>
        </w:rPr>
        <w:footnoteReference w:customMarkFollows="1" w:id="1"/>
        <w:t>*)</w:t>
      </w:r>
    </w:p>
    <w:p w:rsidR="00A30CD2" w:rsidRDefault="00A30CD2" w:rsidP="006B3257">
      <w:pPr>
        <w:pStyle w:val="Zv-Author"/>
        <w:spacing w:line="235" w:lineRule="auto"/>
      </w:pPr>
      <w:r>
        <w:t>Демченко Н.Н.</w:t>
      </w:r>
    </w:p>
    <w:p w:rsidR="00A30CD2" w:rsidRPr="00A30CD2" w:rsidRDefault="00A30CD2" w:rsidP="006B3257">
      <w:pPr>
        <w:pStyle w:val="Zv-Organization"/>
        <w:spacing w:line="235" w:lineRule="auto"/>
      </w:pPr>
      <w:r>
        <w:t xml:space="preserve">Физический институт им. П.Н. Лебедева РАН, г. Москва, Россия, </w:t>
      </w:r>
      <w:r w:rsidRPr="00112CAB">
        <w:t xml:space="preserve"> </w:t>
      </w:r>
      <w:hyperlink r:id="rId8" w:history="1">
        <w:r w:rsidRPr="00625FB8">
          <w:rPr>
            <w:rStyle w:val="a8"/>
            <w:lang w:val="en-US"/>
          </w:rPr>
          <w:t>demchenkonn</w:t>
        </w:r>
        <w:r w:rsidRPr="00625FB8">
          <w:rPr>
            <w:rStyle w:val="a8"/>
          </w:rPr>
          <w:t>@</w:t>
        </w:r>
        <w:r w:rsidRPr="00625FB8">
          <w:rPr>
            <w:rStyle w:val="a8"/>
            <w:lang w:val="en-US"/>
          </w:rPr>
          <w:t>lebedev</w:t>
        </w:r>
        <w:r w:rsidRPr="00625FB8">
          <w:rPr>
            <w:rStyle w:val="a8"/>
          </w:rPr>
          <w:t>.</w:t>
        </w:r>
        <w:r w:rsidRPr="00625FB8">
          <w:rPr>
            <w:rStyle w:val="a8"/>
            <w:lang w:val="en-US"/>
          </w:rPr>
          <w:t>ru</w:t>
        </w:r>
      </w:hyperlink>
    </w:p>
    <w:p w:rsidR="00A30CD2" w:rsidRDefault="00A30CD2" w:rsidP="006B3257">
      <w:pPr>
        <w:pStyle w:val="Zv-bodyreport"/>
        <w:spacing w:line="235" w:lineRule="auto"/>
      </w:pPr>
      <w:r>
        <w:t>Одной из разновидностей вынужденного рассеяния Мандельштама-Бриллюэна (ВРМБ) является рассеяние во встречных электромагнитных волнах [1]. При наклонном падении встречной волной является волна рефрагировавшего в плазме излучения, в том числе излучения от других лазерных пучков при многопучковом облучении сферической мишени. Такой</w:t>
      </w:r>
      <w:r>
        <w:rPr>
          <w:lang w:val="en-US"/>
        </w:rPr>
        <w:t xml:space="preserve"> </w:t>
      </w:r>
      <w:r>
        <w:t>вид</w:t>
      </w:r>
      <w:r>
        <w:rPr>
          <w:lang w:val="en-US"/>
        </w:rPr>
        <w:t xml:space="preserve"> </w:t>
      </w:r>
      <w:r>
        <w:t>ВРМБ</w:t>
      </w:r>
      <w:r>
        <w:rPr>
          <w:lang w:val="en-US"/>
        </w:rPr>
        <w:t xml:space="preserve"> </w:t>
      </w:r>
      <w:r>
        <w:t>был</w:t>
      </w:r>
      <w:r>
        <w:rPr>
          <w:lang w:val="en-US"/>
        </w:rPr>
        <w:t xml:space="preserve"> </w:t>
      </w:r>
      <w:r>
        <w:t>назван</w:t>
      </w:r>
      <w:r>
        <w:rPr>
          <w:lang w:val="en-US"/>
        </w:rPr>
        <w:t xml:space="preserve"> CBET (crossed-beam energy transfer) [2]. </w:t>
      </w:r>
      <w:r>
        <w:t xml:space="preserve">В [2] предложена модель расчета </w:t>
      </w:r>
      <w:r>
        <w:rPr>
          <w:lang w:val="en-US"/>
        </w:rPr>
        <w:t>CBET</w:t>
      </w:r>
      <w:r>
        <w:t xml:space="preserve"> где вместо полей суммируются интенсивности излучения и вводится эмпирический фактор. Такие факторы универсальностью не обладают. Это создает проблему для использования модели при различных экспериментальных условиях.</w:t>
      </w:r>
    </w:p>
    <w:p w:rsidR="00A30CD2" w:rsidRDefault="00A30CD2" w:rsidP="006B3257">
      <w:pPr>
        <w:pStyle w:val="Zv-bodyreport"/>
        <w:spacing w:line="235" w:lineRule="auto"/>
      </w:pPr>
      <w:r>
        <w:t xml:space="preserve">В настоящей работе предлагается модель </w:t>
      </w:r>
      <w:r>
        <w:rPr>
          <w:lang w:val="en-US"/>
        </w:rPr>
        <w:t>CBET</w:t>
      </w:r>
      <w:r>
        <w:t xml:space="preserve"> без эмпирических факторов. Основным в модели является выделение областей в плазме и лазерном пучке, которые приводят к эффективному трехволновому взаимодействию. Акустическая волна при этом должна быть близкой к плоской волне, т.е. размер возмущения плотности в поперечном к акустическому волновому вектору </w:t>
      </w:r>
      <w:r>
        <w:rPr>
          <w:b/>
          <w:bCs/>
          <w:i/>
          <w:iCs/>
          <w:lang w:val="en-US"/>
        </w:rPr>
        <w:t>k</w:t>
      </w:r>
      <w:r>
        <w:rPr>
          <w:i/>
          <w:iCs/>
          <w:vertAlign w:val="subscript"/>
          <w:lang w:val="en-US"/>
        </w:rPr>
        <w:t>a</w:t>
      </w:r>
      <w:r>
        <w:t xml:space="preserve"> направлении должен значительно превосходить длину акустической волны. При многопучковом облучении сферически симметричной плазмы единственным видом возмущений плазмы, удовлетворяющим этому требованию, являются возмущения с </w:t>
      </w:r>
      <w:r>
        <w:rPr>
          <w:i/>
          <w:iCs/>
          <w:lang w:val="en-US"/>
        </w:rPr>
        <w:t>k</w:t>
      </w:r>
      <w:r>
        <w:rPr>
          <w:i/>
          <w:iCs/>
          <w:vertAlign w:val="subscript"/>
          <w:lang w:val="en-US"/>
        </w:rPr>
        <w:t>ar</w:t>
      </w:r>
      <w:r>
        <w:t>&gt;&gt;</w:t>
      </w:r>
      <w:r>
        <w:rPr>
          <w:i/>
          <w:iCs/>
          <w:lang w:val="en-US"/>
        </w:rPr>
        <w:t>k</w:t>
      </w:r>
      <w:r>
        <w:rPr>
          <w:i/>
          <w:iCs/>
          <w:vertAlign w:val="subscript"/>
          <w:lang w:val="en-US"/>
        </w:rPr>
        <w:t>an</w:t>
      </w:r>
      <w:r>
        <w:t xml:space="preserve"> (</w:t>
      </w:r>
      <w:r>
        <w:rPr>
          <w:i/>
          <w:iCs/>
          <w:lang w:val="en-US"/>
        </w:rPr>
        <w:t>k</w:t>
      </w:r>
      <w:r>
        <w:rPr>
          <w:i/>
          <w:iCs/>
          <w:vertAlign w:val="subscript"/>
          <w:lang w:val="en-US"/>
        </w:rPr>
        <w:t>ar</w:t>
      </w:r>
      <w:r>
        <w:t xml:space="preserve"> – радиальная компонента вектора </w:t>
      </w:r>
      <w:r>
        <w:rPr>
          <w:b/>
          <w:bCs/>
          <w:i/>
          <w:iCs/>
          <w:lang w:val="en-US"/>
        </w:rPr>
        <w:t>k</w:t>
      </w:r>
      <w:r>
        <w:rPr>
          <w:i/>
          <w:iCs/>
          <w:vertAlign w:val="subscript"/>
          <w:lang w:val="en-US"/>
        </w:rPr>
        <w:t>a</w:t>
      </w:r>
      <w:r>
        <w:t xml:space="preserve">, </w:t>
      </w:r>
      <w:r>
        <w:rPr>
          <w:i/>
          <w:iCs/>
          <w:lang w:val="en-US"/>
        </w:rPr>
        <w:t>k</w:t>
      </w:r>
      <w:r>
        <w:rPr>
          <w:i/>
          <w:iCs/>
          <w:vertAlign w:val="subscript"/>
          <w:lang w:val="en-US"/>
        </w:rPr>
        <w:t>an</w:t>
      </w:r>
      <w:r>
        <w:t xml:space="preserve"> – компонента в перпендикулярном к радиусу направлении). К такому виду возмущений приводит сложение полей от частей пучков, расположенных вблизи оптической оси: 0 &lt; </w:t>
      </w:r>
      <w:r>
        <w:rPr>
          <w:i/>
          <w:iCs/>
          <w:lang w:val="en-US"/>
        </w:rPr>
        <w:t>p</w:t>
      </w:r>
      <w:r>
        <w:rPr>
          <w:i/>
          <w:iCs/>
        </w:rPr>
        <w:t xml:space="preserve"> </w:t>
      </w:r>
      <w:r>
        <w:t>&lt;</w:t>
      </w:r>
      <w:r>
        <w:rPr>
          <w:i/>
          <w:iCs/>
          <w:lang w:val="en-US"/>
        </w:rPr>
        <w:t>p</w:t>
      </w:r>
      <w:r>
        <w:rPr>
          <w:i/>
          <w:iCs/>
          <w:vertAlign w:val="subscript"/>
          <w:lang w:val="en-US"/>
        </w:rPr>
        <w:t>k</w:t>
      </w:r>
      <w:r>
        <w:t xml:space="preserve">, где </w:t>
      </w:r>
      <w:r>
        <w:rPr>
          <w:i/>
          <w:iCs/>
          <w:lang w:val="en-US"/>
        </w:rPr>
        <w:t>p</w:t>
      </w:r>
      <w:r>
        <w:t xml:space="preserve"> – прицельный параметр луча, </w:t>
      </w:r>
      <w:r>
        <w:rPr>
          <w:i/>
          <w:iCs/>
          <w:lang w:val="en-US"/>
        </w:rPr>
        <w:t>p</w:t>
      </w:r>
      <w:r>
        <w:rPr>
          <w:i/>
          <w:iCs/>
          <w:vertAlign w:val="subscript"/>
          <w:lang w:val="en-US"/>
        </w:rPr>
        <w:t>k</w:t>
      </w:r>
      <w:r>
        <w:t xml:space="preserve"> выбирается из условия </w:t>
      </w:r>
      <w:r>
        <w:rPr>
          <w:i/>
          <w:iCs/>
          <w:lang w:val="en-US"/>
        </w:rPr>
        <w:t>dr</w:t>
      </w:r>
      <w:r>
        <w:rPr>
          <w:i/>
          <w:iCs/>
          <w:vertAlign w:val="subscript"/>
          <w:lang w:val="en-US"/>
        </w:rPr>
        <w:t>t</w:t>
      </w:r>
      <w:r>
        <w:t>/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t</w:t>
      </w:r>
      <w:r>
        <w:rPr>
          <w:i/>
          <w:iCs/>
          <w:lang w:val="en-US"/>
        </w:rPr>
        <w:t>d</w:t>
      </w:r>
      <w:r>
        <w:rPr>
          <w:rFonts w:ascii="Symbol" w:hAnsi="Symbol"/>
          <w:i/>
          <w:iCs/>
          <w:lang w:val="en-US"/>
        </w:rPr>
        <w:t></w:t>
      </w:r>
      <w:r>
        <w:rPr>
          <w:i/>
          <w:iCs/>
          <w:vertAlign w:val="subscript"/>
          <w:lang w:val="en-US"/>
        </w:rPr>
        <w:t>t</w:t>
      </w:r>
      <w:r>
        <w:t xml:space="preserve">=1, где 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t</w:t>
      </w:r>
      <w:r>
        <w:rPr>
          <w:i/>
          <w:iCs/>
        </w:rPr>
        <w:t>(</w:t>
      </w:r>
      <w:r>
        <w:rPr>
          <w:i/>
          <w:iCs/>
          <w:lang w:val="en-US"/>
        </w:rPr>
        <w:t>p</w:t>
      </w:r>
      <w:r>
        <w:rPr>
          <w:i/>
          <w:iCs/>
        </w:rPr>
        <w:t>)</w:t>
      </w:r>
      <w:r>
        <w:t xml:space="preserve"> и </w:t>
      </w:r>
      <w:r>
        <w:rPr>
          <w:rFonts w:ascii="Symbol" w:hAnsi="Symbol"/>
          <w:i/>
          <w:iCs/>
          <w:lang w:val="en-US"/>
        </w:rPr>
        <w:t></w:t>
      </w:r>
      <w:r>
        <w:rPr>
          <w:i/>
          <w:iCs/>
          <w:vertAlign w:val="subscript"/>
          <w:lang w:val="en-US"/>
        </w:rPr>
        <w:t>t</w:t>
      </w:r>
      <w:r>
        <w:rPr>
          <w:i/>
          <w:iCs/>
        </w:rPr>
        <w:t>(</w:t>
      </w:r>
      <w:r>
        <w:rPr>
          <w:i/>
          <w:iCs/>
          <w:lang w:val="en-US"/>
        </w:rPr>
        <w:t>p</w:t>
      </w:r>
      <w:r>
        <w:rPr>
          <w:i/>
          <w:iCs/>
        </w:rPr>
        <w:t>)</w:t>
      </w:r>
      <w:r>
        <w:t xml:space="preserve"> – сферические координаты точки поворота луча с прицельным параметром </w:t>
      </w:r>
      <w:r>
        <w:rPr>
          <w:i/>
          <w:iCs/>
          <w:lang w:val="en-US"/>
        </w:rPr>
        <w:t>p</w:t>
      </w:r>
      <w:r>
        <w:t xml:space="preserve">, угол </w:t>
      </w:r>
      <w:r>
        <w:rPr>
          <w:rFonts w:ascii="Symbol" w:hAnsi="Symbol"/>
          <w:i/>
          <w:iCs/>
          <w:lang w:val="en-US"/>
        </w:rPr>
        <w:t></w:t>
      </w:r>
      <w:r>
        <w:rPr>
          <w:i/>
          <w:iCs/>
          <w:vertAlign w:val="subscript"/>
          <w:lang w:val="en-US"/>
        </w:rPr>
        <w:t>t</w:t>
      </w:r>
      <w:r>
        <w:t xml:space="preserve"> отсчитывается от оптической оси пучка.  При </w:t>
      </w:r>
      <w:r>
        <w:rPr>
          <w:i/>
          <w:iCs/>
          <w:lang w:val="en-US"/>
        </w:rPr>
        <w:t>k</w:t>
      </w:r>
      <w:r>
        <w:rPr>
          <w:i/>
          <w:iCs/>
          <w:vertAlign w:val="subscript"/>
          <w:lang w:val="en-US"/>
        </w:rPr>
        <w:t>ar</w:t>
      </w:r>
      <w:r>
        <w:t>&gt;&gt;</w:t>
      </w:r>
      <w:r>
        <w:rPr>
          <w:i/>
          <w:iCs/>
          <w:lang w:val="en-US"/>
        </w:rPr>
        <w:t>k</w:t>
      </w:r>
      <w:r>
        <w:rPr>
          <w:i/>
          <w:iCs/>
          <w:vertAlign w:val="subscript"/>
          <w:lang w:val="en-US"/>
        </w:rPr>
        <w:t>an</w:t>
      </w:r>
      <w:r>
        <w:t xml:space="preserve"> основной вклад в рассеяние дает небольшая окрестность точки </w:t>
      </w:r>
      <w:r>
        <w:rPr>
          <w:i/>
          <w:iCs/>
          <w:lang w:val="en-US"/>
        </w:rPr>
        <w:t>M</w:t>
      </w:r>
      <w:r>
        <w:t xml:space="preserve">=1, где </w:t>
      </w:r>
      <w:r>
        <w:rPr>
          <w:i/>
          <w:iCs/>
          <w:lang w:val="en-US"/>
        </w:rPr>
        <w:t>M</w:t>
      </w:r>
      <w:r>
        <w:t>=</w:t>
      </w:r>
      <w:r>
        <w:rPr>
          <w:i/>
          <w:iCs/>
        </w:rPr>
        <w:t>(</w:t>
      </w:r>
      <w:r>
        <w:rPr>
          <w:i/>
          <w:iCs/>
          <w:lang w:val="en-US"/>
        </w:rPr>
        <w:t>u</w:t>
      </w:r>
      <w:r>
        <w:rPr>
          <w:i/>
          <w:iCs/>
        </w:rPr>
        <w:t>-</w:t>
      </w:r>
      <w:r>
        <w:rPr>
          <w:i/>
          <w:iCs/>
          <w:lang w:val="en-US"/>
        </w:rPr>
        <w:t>dr</w:t>
      </w:r>
      <w:r>
        <w:rPr>
          <w:i/>
          <w:iCs/>
          <w:vertAlign w:val="subscript"/>
          <w:lang w:val="en-US"/>
        </w:rPr>
        <w:t>c</w:t>
      </w:r>
      <w:r>
        <w:t>/</w:t>
      </w:r>
      <w:r>
        <w:rPr>
          <w:i/>
          <w:iCs/>
          <w:lang w:val="en-US"/>
        </w:rPr>
        <w:t>dt</w:t>
      </w:r>
      <w:r>
        <w:rPr>
          <w:i/>
          <w:iCs/>
        </w:rPr>
        <w:t>)</w:t>
      </w:r>
      <w:r>
        <w:t>/</w:t>
      </w:r>
      <w:r>
        <w:rPr>
          <w:i/>
          <w:iCs/>
          <w:lang w:val="en-US"/>
        </w:rPr>
        <w:t>c</w:t>
      </w:r>
      <w:r>
        <w:rPr>
          <w:i/>
          <w:iCs/>
          <w:vertAlign w:val="subscript"/>
          <w:lang w:val="en-US"/>
        </w:rPr>
        <w:t>s</w:t>
      </w:r>
      <w:r>
        <w:t xml:space="preserve"> – число Маха, </w:t>
      </w:r>
      <w:r>
        <w:rPr>
          <w:i/>
          <w:iCs/>
          <w:lang w:val="en-US"/>
        </w:rPr>
        <w:t>u</w:t>
      </w:r>
      <w:r>
        <w:rPr>
          <w:i/>
          <w:iCs/>
        </w:rPr>
        <w:t xml:space="preserve"> </w:t>
      </w:r>
      <w:r>
        <w:t xml:space="preserve">– скорость плазмы, 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c</w:t>
      </w:r>
      <w:r>
        <w:rPr>
          <w:i/>
          <w:iCs/>
        </w:rPr>
        <w:t>(</w:t>
      </w:r>
      <w:r>
        <w:rPr>
          <w:i/>
          <w:iCs/>
          <w:lang w:val="en-US"/>
        </w:rPr>
        <w:t>t</w:t>
      </w:r>
      <w:r>
        <w:rPr>
          <w:i/>
          <w:iCs/>
        </w:rPr>
        <w:t>)</w:t>
      </w:r>
      <w:r>
        <w:t xml:space="preserve"> – зависимость от времени радиуса критической поверхности, </w:t>
      </w:r>
      <w:r>
        <w:rPr>
          <w:i/>
          <w:iCs/>
          <w:lang w:val="en-US"/>
        </w:rPr>
        <w:t>c</w:t>
      </w:r>
      <w:r>
        <w:rPr>
          <w:i/>
          <w:iCs/>
          <w:vertAlign w:val="subscript"/>
          <w:lang w:val="en-US"/>
        </w:rPr>
        <w:t>s</w:t>
      </w:r>
      <w:r>
        <w:t xml:space="preserve"> – скорость звука. Возникает второе ограничение на область прицельных параметров: 0 &lt; </w:t>
      </w:r>
      <w:r>
        <w:rPr>
          <w:i/>
          <w:iCs/>
          <w:lang w:val="en-US"/>
        </w:rPr>
        <w:t>p</w:t>
      </w:r>
      <w:r>
        <w:rPr>
          <w:i/>
          <w:iCs/>
        </w:rPr>
        <w:t xml:space="preserve"> </w:t>
      </w:r>
      <w:r>
        <w:t xml:space="preserve">&lt; </w:t>
      </w:r>
      <w:r>
        <w:rPr>
          <w:i/>
          <w:iCs/>
          <w:lang w:val="en-US"/>
        </w:rPr>
        <w:t>p</w:t>
      </w:r>
      <w:r>
        <w:rPr>
          <w:i/>
          <w:iCs/>
          <w:vertAlign w:val="subscript"/>
          <w:lang w:val="en-US"/>
        </w:rPr>
        <w:t>M</w:t>
      </w:r>
      <w:r>
        <w:t xml:space="preserve">, где </w:t>
      </w:r>
      <w:r>
        <w:rPr>
          <w:i/>
          <w:iCs/>
          <w:lang w:val="en-US"/>
        </w:rPr>
        <w:t>p</w:t>
      </w:r>
      <w:r>
        <w:rPr>
          <w:i/>
          <w:iCs/>
          <w:vertAlign w:val="subscript"/>
          <w:lang w:val="en-US"/>
        </w:rPr>
        <w:t>M</w:t>
      </w:r>
      <w:r>
        <w:t xml:space="preserve"> – прицельный параметр луча, у которого в точке поворота </w:t>
      </w:r>
      <w:r>
        <w:rPr>
          <w:i/>
          <w:iCs/>
          <w:lang w:val="en-US"/>
        </w:rPr>
        <w:t>M</w:t>
      </w:r>
      <w:r>
        <w:rPr>
          <w:i/>
          <w:iCs/>
        </w:rPr>
        <w:t xml:space="preserve"> </w:t>
      </w:r>
      <w:r>
        <w:t xml:space="preserve">= 1. </w:t>
      </w:r>
      <w:r w:rsidRPr="00112CAB">
        <w:rPr>
          <w:spacing w:val="-4"/>
        </w:rPr>
        <w:t xml:space="preserve">В остальной области плазмы возмущения плотности будут иметь вид ячеек с </w:t>
      </w:r>
    </w:p>
    <w:p w:rsidR="00A30CD2" w:rsidRDefault="00A30CD2" w:rsidP="006B3257">
      <w:pPr>
        <w:pStyle w:val="Zv-bodyreport"/>
        <w:spacing w:line="235" w:lineRule="auto"/>
        <w:ind w:firstLine="0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69215</wp:posOffset>
            </wp:positionV>
            <wp:extent cx="1882775" cy="2077720"/>
            <wp:effectExtent l="0" t="0" r="0" b="0"/>
            <wp:wrapNone/>
            <wp:docPr id="2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размером около половины длины электромагнитной волны. Из-за фазовых сдвигов между</w:t>
      </w:r>
    </w:p>
    <w:p w:rsidR="00A30CD2" w:rsidRPr="00112CAB" w:rsidRDefault="00A30CD2" w:rsidP="006B3257">
      <w:pPr>
        <w:pStyle w:val="Zv-bodyreport"/>
        <w:spacing w:line="235" w:lineRule="auto"/>
        <w:ind w:left="2778" w:firstLine="0"/>
      </w:pPr>
      <w:r>
        <w:t xml:space="preserve">волнами уровень возмущений будет значительно меньше, чем при суммировании интенсивностей. Можно говорить лишь о слабом диффузном рассеянии излучения на такой структуре. Модель использована в программе </w:t>
      </w:r>
      <w:r>
        <w:rPr>
          <w:lang w:val="en-US"/>
        </w:rPr>
        <w:t>RAPID</w:t>
      </w:r>
      <w:r>
        <w:t xml:space="preserve"> [3]. Расчет энергетического баланса для условий эксперимента </w:t>
      </w:r>
      <w:r>
        <w:rPr>
          <w:lang w:val="en-US"/>
        </w:rPr>
        <w:t>OMEGA</w:t>
      </w:r>
      <w:r>
        <w:t xml:space="preserve"> [2] (мишень – сферическая оболочка из </w:t>
      </w:r>
      <w:r>
        <w:rPr>
          <w:lang w:val="en-US"/>
        </w:rPr>
        <w:t>CH</w:t>
      </w:r>
      <w:r>
        <w:t xml:space="preserve"> толщиной 25 мкм при внешнем радиусе 430 мкм, импульс </w:t>
      </w:r>
      <w:r>
        <w:rPr>
          <w:lang w:val="en-US"/>
        </w:rPr>
        <w:t>Q</w:t>
      </w:r>
      <w:r>
        <w:rPr>
          <w:vertAlign w:val="subscript"/>
          <w:lang w:val="en-US"/>
        </w:rPr>
        <w:t>L</w:t>
      </w:r>
      <w:r>
        <w:t>(</w:t>
      </w:r>
      <w:r>
        <w:rPr>
          <w:lang w:val="en-US"/>
        </w:rPr>
        <w:t>t</w:t>
      </w:r>
      <w:r>
        <w:t xml:space="preserve">) показан на рисунке) дал результаты близкие к экспериментальным значениям. На рисунке: </w:t>
      </w:r>
      <w:r>
        <w:rPr>
          <w:rFonts w:ascii="Symbol" w:hAnsi="Symbol"/>
          <w:lang w:val="en-US"/>
        </w:rPr>
        <w:t></w:t>
      </w:r>
      <w:r>
        <w:rPr>
          <w:vertAlign w:val="subscript"/>
          <w:lang w:val="en-US"/>
        </w:rPr>
        <w:t>out</w:t>
      </w:r>
      <w:r>
        <w:t xml:space="preserve"> – общая доля вышедшего из плазмы излучения, </w:t>
      </w:r>
      <w:r>
        <w:rPr>
          <w:rFonts w:ascii="Symbol" w:hAnsi="Symbol"/>
          <w:lang w:val="en-US"/>
        </w:rPr>
        <w:t></w:t>
      </w:r>
      <w:r>
        <w:rPr>
          <w:vertAlign w:val="subscript"/>
          <w:lang w:val="en-US"/>
        </w:rPr>
        <w:t>CB</w:t>
      </w:r>
      <w:r>
        <w:t xml:space="preserve"> – доля </w:t>
      </w:r>
      <w:r>
        <w:rPr>
          <w:lang w:val="en-US"/>
        </w:rPr>
        <w:t>CBET</w:t>
      </w:r>
      <w:r>
        <w:t xml:space="preserve">-рассеяния, </w:t>
      </w:r>
      <w:r>
        <w:rPr>
          <w:rFonts w:ascii="Symbol" w:hAnsi="Symbol"/>
          <w:lang w:val="en-US"/>
        </w:rPr>
        <w:t></w:t>
      </w:r>
      <w:r>
        <w:rPr>
          <w:vertAlign w:val="subscript"/>
          <w:lang w:val="en-US"/>
        </w:rPr>
        <w:t>out</w:t>
      </w:r>
      <w:r>
        <w:t xml:space="preserve"> и </w:t>
      </w:r>
      <w:r>
        <w:rPr>
          <w:rFonts w:ascii="Symbol" w:hAnsi="Symbol"/>
          <w:lang w:val="en-US"/>
        </w:rPr>
        <w:t></w:t>
      </w:r>
      <w:r>
        <w:rPr>
          <w:vertAlign w:val="subscript"/>
          <w:lang w:val="en-US"/>
        </w:rPr>
        <w:t>CB</w:t>
      </w:r>
      <w:r>
        <w:t xml:space="preserve"> – интегральные по импульсу значения.</w:t>
      </w:r>
    </w:p>
    <w:p w:rsidR="00A30CD2" w:rsidRDefault="00A30CD2" w:rsidP="006B3257">
      <w:pPr>
        <w:pStyle w:val="Zv-bodyreport"/>
        <w:spacing w:line="235" w:lineRule="auto"/>
      </w:pPr>
      <w:r>
        <w:t>Исследование выполнено при финансовой поддержке РФФИ (проект № 19-02-00299а).</w:t>
      </w:r>
    </w:p>
    <w:p w:rsidR="00A30CD2" w:rsidRDefault="00A30CD2" w:rsidP="006B3257">
      <w:pPr>
        <w:pStyle w:val="Zv-TitleReferences-ru"/>
        <w:spacing w:line="235" w:lineRule="auto"/>
      </w:pPr>
      <w:r>
        <w:t>Литература</w:t>
      </w:r>
    </w:p>
    <w:p w:rsidR="00A30CD2" w:rsidRPr="00A30CD2" w:rsidRDefault="00A30CD2" w:rsidP="006B3257">
      <w:pPr>
        <w:pStyle w:val="Zv-References-ru"/>
        <w:spacing w:line="235" w:lineRule="auto"/>
      </w:pPr>
      <w:r w:rsidRPr="00A30CD2">
        <w:t>Н.Н. Демченко, В.Б. Розанов. ЖЭТФ, т.103, с.2008 (1993).</w:t>
      </w:r>
    </w:p>
    <w:p w:rsidR="00A30CD2" w:rsidRPr="00A30CD2" w:rsidRDefault="00A30CD2" w:rsidP="006B3257">
      <w:pPr>
        <w:pStyle w:val="Zv-References-ru"/>
        <w:spacing w:line="235" w:lineRule="auto"/>
      </w:pPr>
      <w:r w:rsidRPr="00A30CD2">
        <w:rPr>
          <w:lang w:val="en-US"/>
        </w:rPr>
        <w:t xml:space="preserve">I.V. Igumenshchev, W. Seka, D.H. Edgell, et al., Phys. </w:t>
      </w:r>
      <w:r w:rsidRPr="00A30CD2">
        <w:t>Plasmas, v.19, 056314 (2012).</w:t>
      </w:r>
    </w:p>
    <w:p w:rsidR="00A30CD2" w:rsidRPr="00A30CD2" w:rsidRDefault="00A30CD2" w:rsidP="006B3257">
      <w:pPr>
        <w:pStyle w:val="Zv-References-ru"/>
        <w:spacing w:line="235" w:lineRule="auto"/>
      </w:pPr>
      <w:r w:rsidRPr="00A30CD2">
        <w:t>Ю.В. Афанасьев, Е.Г. Гамалий, Н.Н. Демченко и др. ЖЭТФ, т.79, с.837 (1980).</w:t>
      </w:r>
    </w:p>
    <w:sectPr w:rsidR="00A30CD2" w:rsidRPr="00A30CD2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2C1" w:rsidRDefault="00BB32C1">
      <w:r>
        <w:separator/>
      </w:r>
    </w:p>
  </w:endnote>
  <w:endnote w:type="continuationSeparator" w:id="0">
    <w:p w:rsidR="00BB32C1" w:rsidRDefault="00BB3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54759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816068"/>
      <w:docPartObj>
        <w:docPartGallery w:val="Page Numbers (Bottom of Page)"/>
        <w:docPartUnique/>
      </w:docPartObj>
    </w:sdtPr>
    <w:sdtContent>
      <w:p w:rsidR="00B54A7C" w:rsidRDefault="00D54759">
        <w:pPr>
          <w:pStyle w:val="a4"/>
          <w:jc w:val="center"/>
        </w:pPr>
        <w:fldSimple w:instr=" PAGE   \* MERGEFORMAT ">
          <w:r w:rsidR="00720EA4">
            <w:rPr>
              <w:noProof/>
            </w:rPr>
            <w:t>1</w:t>
          </w:r>
        </w:fldSimple>
        <w:r w:rsidR="00B54A7C">
          <w:rPr>
            <w:lang w:val="en-US"/>
          </w:rPr>
          <w:t>09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2C1" w:rsidRDefault="00BB32C1">
      <w:r>
        <w:separator/>
      </w:r>
    </w:p>
  </w:footnote>
  <w:footnote w:type="continuationSeparator" w:id="0">
    <w:p w:rsidR="00BB32C1" w:rsidRDefault="00BB32C1">
      <w:r>
        <w:continuationSeparator/>
      </w:r>
    </w:p>
  </w:footnote>
  <w:footnote w:id="1">
    <w:p w:rsidR="006B3257" w:rsidRPr="006B3257" w:rsidRDefault="006B3257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6B3257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A30CD2">
      <w:rPr>
        <w:sz w:val="20"/>
      </w:rPr>
      <w:t>14</w:t>
    </w:r>
    <w:r w:rsidR="00C62CFE">
      <w:rPr>
        <w:sz w:val="20"/>
      </w:rPr>
      <w:t xml:space="preserve"> – </w:t>
    </w:r>
    <w:r w:rsidR="00C62CFE" w:rsidRPr="00A30CD2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A30CD2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D5475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32C1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8683A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B3257"/>
    <w:rsid w:val="006F68D0"/>
    <w:rsid w:val="00720EA4"/>
    <w:rsid w:val="00732A2E"/>
    <w:rsid w:val="00733E88"/>
    <w:rsid w:val="007B6378"/>
    <w:rsid w:val="00802D35"/>
    <w:rsid w:val="008E2894"/>
    <w:rsid w:val="009352E6"/>
    <w:rsid w:val="0094721E"/>
    <w:rsid w:val="00955BFC"/>
    <w:rsid w:val="009977D8"/>
    <w:rsid w:val="00A30CD2"/>
    <w:rsid w:val="00A66876"/>
    <w:rsid w:val="00A71613"/>
    <w:rsid w:val="00AB3459"/>
    <w:rsid w:val="00AD7670"/>
    <w:rsid w:val="00B54A7C"/>
    <w:rsid w:val="00B622ED"/>
    <w:rsid w:val="00B9584E"/>
    <w:rsid w:val="00BB32C1"/>
    <w:rsid w:val="00BD05EF"/>
    <w:rsid w:val="00C103CD"/>
    <w:rsid w:val="00C232A0"/>
    <w:rsid w:val="00C62CFE"/>
    <w:rsid w:val="00CA791E"/>
    <w:rsid w:val="00CE0E75"/>
    <w:rsid w:val="00D47F19"/>
    <w:rsid w:val="00D54759"/>
    <w:rsid w:val="00DA4715"/>
    <w:rsid w:val="00DE16AD"/>
    <w:rsid w:val="00DF1C1D"/>
    <w:rsid w:val="00DF6D4D"/>
    <w:rsid w:val="00E1331D"/>
    <w:rsid w:val="00E7021A"/>
    <w:rsid w:val="00E87733"/>
    <w:rsid w:val="00F74399"/>
    <w:rsid w:val="00F86187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uiPriority w:val="99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uiPriority w:val="99"/>
    <w:locked/>
    <w:rsid w:val="00A30CD2"/>
    <w:rPr>
      <w:sz w:val="24"/>
      <w:szCs w:val="24"/>
    </w:rPr>
  </w:style>
  <w:style w:type="character" w:styleId="a8">
    <w:name w:val="Hyperlink"/>
    <w:basedOn w:val="a0"/>
    <w:rsid w:val="00A30CD2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B54A7C"/>
    <w:rPr>
      <w:sz w:val="24"/>
      <w:szCs w:val="24"/>
    </w:rPr>
  </w:style>
  <w:style w:type="paragraph" w:styleId="a9">
    <w:name w:val="footnote text"/>
    <w:basedOn w:val="a"/>
    <w:link w:val="aa"/>
    <w:rsid w:val="006B3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B3257"/>
  </w:style>
  <w:style w:type="character" w:styleId="ab">
    <w:name w:val="footnote reference"/>
    <w:basedOn w:val="a0"/>
    <w:rsid w:val="006B32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chenkonn@lebede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It/en/DB-Demchen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5ADCB-10B8-4E83-A1F0-466447AA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6</TotalTime>
  <Pages>1</Pages>
  <Words>435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САМОСОГЛАСОВАННАЯ МОДЕЛЬ ВЫНУЖДЕННОГО РАССЕЯНИЯ МАНДЕЛЬШТАМА-БРИЛЛЮЭНА БЕЗ ЭМПИРИЧЕСКИХ ФАКТОРОВ ДЛЯ МНОГОПУЧКОВОГО ОБЛУЧЕНИЯ СФЕРИЧЕСКОЙ ЛАЗЕРНОЙ МИШЕНИ</dc:title>
  <dc:creator/>
  <cp:lastModifiedBy>Сатунин</cp:lastModifiedBy>
  <cp:revision>5</cp:revision>
  <cp:lastPrinted>1601-01-01T00:00:00Z</cp:lastPrinted>
  <dcterms:created xsi:type="dcterms:W3CDTF">2022-01-24T13:02:00Z</dcterms:created>
  <dcterms:modified xsi:type="dcterms:W3CDTF">2022-03-30T15:01:00Z</dcterms:modified>
</cp:coreProperties>
</file>