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BC" w:rsidRPr="00A31B26" w:rsidRDefault="00BF7FBC" w:rsidP="00BF7FBC">
      <w:pPr>
        <w:pStyle w:val="Zv-Titlereport"/>
      </w:pPr>
      <w:r>
        <w:t>определение</w:t>
      </w:r>
      <w:r w:rsidRPr="00250110">
        <w:t xml:space="preserve"> </w:t>
      </w:r>
      <w:r>
        <w:t>характеристик турбулентности в нелинейном режиме рефлектометрии</w:t>
      </w:r>
      <w:r w:rsidR="00A31B26" w:rsidRPr="00A31B26">
        <w:t xml:space="preserve"> </w:t>
      </w:r>
      <w:r w:rsidR="00A31B26">
        <w:rPr>
          <w:rStyle w:val="aa"/>
        </w:rPr>
        <w:footnoteReference w:customMarkFollows="1" w:id="1"/>
        <w:t>*)</w:t>
      </w:r>
    </w:p>
    <w:p w:rsidR="00BF7FBC" w:rsidRPr="00AD2A34" w:rsidRDefault="00BF7FBC" w:rsidP="00BF7FBC">
      <w:pPr>
        <w:pStyle w:val="Zv-Author"/>
      </w:pPr>
      <w:r w:rsidRPr="00AD2A34">
        <w:rPr>
          <w:vertAlign w:val="superscript"/>
        </w:rPr>
        <w:t>1,2</w:t>
      </w:r>
      <w:r>
        <w:t>Третинников</w:t>
      </w:r>
      <w:r w:rsidRPr="00AD2A34">
        <w:t xml:space="preserve"> </w:t>
      </w:r>
      <w:r>
        <w:t>П</w:t>
      </w:r>
      <w:r w:rsidRPr="00AD2A34">
        <w:t>.</w:t>
      </w:r>
      <w:r>
        <w:t>В.</w:t>
      </w:r>
      <w:r w:rsidRPr="00AD2A34">
        <w:t>,</w:t>
      </w:r>
      <w:r w:rsidRPr="00AD2A34">
        <w:rPr>
          <w:vertAlign w:val="superscript"/>
        </w:rPr>
        <w:t xml:space="preserve"> 1</w:t>
      </w:r>
      <w:r>
        <w:t>Гусаков</w:t>
      </w:r>
      <w:r w:rsidRPr="00AD2A34">
        <w:t xml:space="preserve"> </w:t>
      </w:r>
      <w:r>
        <w:t>Е</w:t>
      </w:r>
      <w:r w:rsidRPr="00AD2A34">
        <w:t>.</w:t>
      </w:r>
      <w:r>
        <w:t>З.</w:t>
      </w:r>
      <w:r w:rsidRPr="00AD2A34">
        <w:t>,</w:t>
      </w:r>
      <w:r w:rsidRPr="00AD2A34">
        <w:rPr>
          <w:vertAlign w:val="superscript"/>
        </w:rPr>
        <w:t xml:space="preserve"> 2</w:t>
      </w:r>
      <w:r>
        <w:rPr>
          <w:lang w:val="en-US"/>
        </w:rPr>
        <w:t>Heuraux</w:t>
      </w:r>
      <w:r w:rsidRPr="00AD2A34">
        <w:t xml:space="preserve"> </w:t>
      </w:r>
      <w:r>
        <w:rPr>
          <w:lang w:val="en-US"/>
        </w:rPr>
        <w:t>S</w:t>
      </w:r>
      <w:r w:rsidRPr="00AD2A34">
        <w:t>.</w:t>
      </w:r>
    </w:p>
    <w:p w:rsidR="00BF7FBC" w:rsidRPr="00BF7FBC" w:rsidRDefault="00BF7FBC" w:rsidP="00BF7FBC">
      <w:pPr>
        <w:pStyle w:val="Zv-Organization"/>
      </w:pPr>
      <w:r w:rsidRPr="00BF7FBC">
        <w:rPr>
          <w:vertAlign w:val="superscript"/>
        </w:rPr>
        <w:t>1</w:t>
      </w:r>
      <w:r>
        <w:t>ФТИ</w:t>
      </w:r>
      <w:r w:rsidRPr="00BF7FBC">
        <w:t xml:space="preserve"> </w:t>
      </w:r>
      <w:r>
        <w:t>им</w:t>
      </w:r>
      <w:r w:rsidRPr="00BF7FBC">
        <w:t xml:space="preserve">. </w:t>
      </w:r>
      <w:r>
        <w:t>Иоффе</w:t>
      </w:r>
      <w:r w:rsidRPr="00BF7FBC">
        <w:t xml:space="preserve">, 26 </w:t>
      </w:r>
      <w:r>
        <w:t>Политехническая</w:t>
      </w:r>
      <w:r w:rsidRPr="00BF7FBC">
        <w:t xml:space="preserve">, 194021, </w:t>
      </w:r>
      <w:r>
        <w:t>Санкт</w:t>
      </w:r>
      <w:r w:rsidRPr="00BF7FBC">
        <w:t>-</w:t>
      </w:r>
      <w:r>
        <w:t>Петербург</w:t>
      </w:r>
      <w:r w:rsidRPr="00BF7FBC">
        <w:t xml:space="preserve">, </w:t>
      </w:r>
      <w:r>
        <w:t>Россия</w:t>
      </w:r>
      <w:r w:rsidRPr="00BF7FBC">
        <w:t>,</w:t>
      </w:r>
      <w:r w:rsidRPr="00BF7FBC">
        <w:br/>
        <w:t xml:space="preserve">     </w:t>
      </w:r>
      <w:hyperlink r:id="rId8" w:history="1">
        <w:r w:rsidRPr="00CB018B">
          <w:rPr>
            <w:rStyle w:val="a7"/>
            <w:lang w:val="en-US"/>
          </w:rPr>
          <w:t>post</w:t>
        </w:r>
        <w:r w:rsidRPr="00BF7FBC">
          <w:rPr>
            <w:rStyle w:val="a7"/>
          </w:rPr>
          <w:t>@</w:t>
        </w:r>
        <w:r w:rsidRPr="00CB018B">
          <w:rPr>
            <w:rStyle w:val="a7"/>
            <w:lang w:val="en-US"/>
          </w:rPr>
          <w:t>mail</w:t>
        </w:r>
        <w:r w:rsidRPr="00BF7FBC">
          <w:rPr>
            <w:rStyle w:val="a7"/>
          </w:rPr>
          <w:t>.</w:t>
        </w:r>
        <w:r w:rsidRPr="00CB018B">
          <w:rPr>
            <w:rStyle w:val="a7"/>
            <w:lang w:val="en-US"/>
          </w:rPr>
          <w:t>ioffe</w:t>
        </w:r>
        <w:r w:rsidRPr="00BF7FBC">
          <w:rPr>
            <w:rStyle w:val="a7"/>
          </w:rPr>
          <w:t>.</w:t>
        </w:r>
        <w:r w:rsidRPr="00CB018B">
          <w:rPr>
            <w:rStyle w:val="a7"/>
            <w:lang w:val="en-US"/>
          </w:rPr>
          <w:t>ru</w:t>
        </w:r>
      </w:hyperlink>
      <w:r w:rsidRPr="00BF7FBC">
        <w:t xml:space="preserve"> </w:t>
      </w:r>
      <w:r w:rsidRPr="00BF7FBC">
        <w:br/>
      </w:r>
      <w:r w:rsidRPr="00BF7FBC">
        <w:rPr>
          <w:vertAlign w:val="superscript"/>
        </w:rPr>
        <w:t>2</w:t>
      </w:r>
      <w:r w:rsidRPr="00F47133">
        <w:rPr>
          <w:lang w:val="en-US"/>
        </w:rPr>
        <w:t>Institut</w:t>
      </w:r>
      <w:r w:rsidRPr="00BF7FBC">
        <w:t xml:space="preserve"> </w:t>
      </w:r>
      <w:r w:rsidRPr="00F47133">
        <w:rPr>
          <w:lang w:val="en-US"/>
        </w:rPr>
        <w:t>Jean</w:t>
      </w:r>
      <w:r w:rsidRPr="00BF7FBC">
        <w:t xml:space="preserve"> </w:t>
      </w:r>
      <w:r w:rsidRPr="00F47133">
        <w:rPr>
          <w:lang w:val="en-US"/>
        </w:rPr>
        <w:t>Lamour</w:t>
      </w:r>
      <w:r w:rsidRPr="00BF7FBC">
        <w:t xml:space="preserve"> </w:t>
      </w:r>
      <w:r w:rsidRPr="00F47133">
        <w:rPr>
          <w:lang w:val="en-US"/>
        </w:rPr>
        <w:t>CNRS</w:t>
      </w:r>
      <w:r w:rsidRPr="00BF7FBC">
        <w:t xml:space="preserve">, </w:t>
      </w:r>
      <w:r w:rsidRPr="00F47133">
        <w:rPr>
          <w:lang w:val="en-US"/>
        </w:rPr>
        <w:t>Univ</w:t>
      </w:r>
      <w:r w:rsidRPr="00BF7FBC">
        <w:t xml:space="preserve">. </w:t>
      </w:r>
      <w:r w:rsidRPr="00F47133">
        <w:rPr>
          <w:lang w:val="en-US"/>
        </w:rPr>
        <w:t>de</w:t>
      </w:r>
      <w:r w:rsidRPr="00BF7FBC">
        <w:t xml:space="preserve"> </w:t>
      </w:r>
      <w:r w:rsidRPr="00F47133">
        <w:rPr>
          <w:lang w:val="en-US"/>
        </w:rPr>
        <w:t>Lorraine</w:t>
      </w:r>
      <w:r w:rsidRPr="00BF7FBC">
        <w:t xml:space="preserve">, </w:t>
      </w:r>
      <w:r w:rsidRPr="00F47133">
        <w:rPr>
          <w:lang w:val="en-US"/>
        </w:rPr>
        <w:t>BP</w:t>
      </w:r>
      <w:r w:rsidRPr="00BF7FBC">
        <w:t xml:space="preserve"> 50840, 54011 </w:t>
      </w:r>
      <w:r w:rsidRPr="00F47133">
        <w:rPr>
          <w:lang w:val="en-US"/>
        </w:rPr>
        <w:t>Nancy</w:t>
      </w:r>
      <w:r w:rsidRPr="00BF7FBC">
        <w:t xml:space="preserve">, </w:t>
      </w:r>
      <w:r w:rsidRPr="00F47133">
        <w:rPr>
          <w:lang w:val="en-US"/>
        </w:rPr>
        <w:t>France</w:t>
      </w:r>
      <w:r w:rsidRPr="00BF7FBC">
        <w:t>,</w:t>
      </w:r>
      <w:r w:rsidRPr="00BF7FBC">
        <w:br/>
        <w:t xml:space="preserve">     </w:t>
      </w:r>
      <w:hyperlink r:id="rId9" w:history="1">
        <w:r w:rsidRPr="00CB018B">
          <w:rPr>
            <w:rStyle w:val="a7"/>
            <w:lang w:val="en-US"/>
          </w:rPr>
          <w:t>ijl</w:t>
        </w:r>
        <w:r w:rsidRPr="00BF7FBC">
          <w:rPr>
            <w:rStyle w:val="a7"/>
          </w:rPr>
          <w:t>-</w:t>
        </w:r>
        <w:r w:rsidRPr="00CB018B">
          <w:rPr>
            <w:rStyle w:val="a7"/>
            <w:lang w:val="en-US"/>
          </w:rPr>
          <w:t>communication</w:t>
        </w:r>
        <w:r w:rsidRPr="00BF7FBC">
          <w:rPr>
            <w:rStyle w:val="a7"/>
          </w:rPr>
          <w:t>@</w:t>
        </w:r>
        <w:r w:rsidRPr="00CB018B">
          <w:rPr>
            <w:rStyle w:val="a7"/>
            <w:lang w:val="en-US"/>
          </w:rPr>
          <w:t>univ</w:t>
        </w:r>
        <w:r w:rsidRPr="00BF7FBC">
          <w:rPr>
            <w:rStyle w:val="a7"/>
          </w:rPr>
          <w:t>-</w:t>
        </w:r>
        <w:r w:rsidRPr="00CB018B">
          <w:rPr>
            <w:rStyle w:val="a7"/>
            <w:lang w:val="en-US"/>
          </w:rPr>
          <w:t>lorraine</w:t>
        </w:r>
        <w:r w:rsidRPr="00BF7FBC">
          <w:rPr>
            <w:rStyle w:val="a7"/>
          </w:rPr>
          <w:t>.</w:t>
        </w:r>
        <w:r w:rsidRPr="00CB018B">
          <w:rPr>
            <w:rStyle w:val="a7"/>
            <w:lang w:val="en-US"/>
          </w:rPr>
          <w:t>fr</w:t>
        </w:r>
      </w:hyperlink>
    </w:p>
    <w:p w:rsidR="00BF7FBC" w:rsidRPr="00C777AC" w:rsidRDefault="00BF7FBC" w:rsidP="00BF7FBC">
      <w:pPr>
        <w:pStyle w:val="Zv-bodyreport"/>
      </w:pPr>
      <w:r>
        <w:t>Радиальная корреляционная рефлектометрия (РКР) является одним из основных методов для диагностики турбулентности плазмы в термоядерных установках с магнитным удержанием плазмы. Традиционно полагалось, что</w:t>
      </w:r>
      <w:r w:rsidRPr="00C777AC">
        <w:t xml:space="preserve"> </w:t>
      </w:r>
      <w:r>
        <w:t>путем зондирования плазмы разными частотами можно определить радиальную корреляционную длину турбулентности просто как разницу между отсечками, при которой спадает кросскорреляционная функция (ККФ) сигналов на соответствующих частотах. Однако оказалось, что такой прямолинейный подход не всегда корректен</w:t>
      </w:r>
      <w:r w:rsidRPr="00AB7937">
        <w:t xml:space="preserve">, </w:t>
      </w:r>
      <w:r>
        <w:t xml:space="preserve">он может привести к переоценке корреляционной длины в линейном режиме рассеяния </w:t>
      </w:r>
      <w:r w:rsidRPr="00AB7937">
        <w:t>[1, 2]</w:t>
      </w:r>
      <w:r>
        <w:t xml:space="preserve"> и ее недооценке в нелинейном режиме, характерном для больших установок, </w:t>
      </w:r>
      <w:r w:rsidRPr="00AD03B9">
        <w:t>как это было показано в результате развития аналитической нелинейной теории РКР</w:t>
      </w:r>
      <w:r>
        <w:t xml:space="preserve"> в одномерной </w:t>
      </w:r>
      <w:r w:rsidRPr="000A0096">
        <w:t xml:space="preserve">[3] </w:t>
      </w:r>
      <w:r>
        <w:t xml:space="preserve">и двумерной </w:t>
      </w:r>
      <w:r w:rsidRPr="000A0096">
        <w:t xml:space="preserve">[4] </w:t>
      </w:r>
      <w:r>
        <w:t>моделях. Согласно этой теории, если уровень турбулентности достаточно большой, пространственная корреляционная длина сигнала является функцией и амплитуды турбулентности, и ее радиальной корреляционной длины, и кажется, что таким образом не может быть использована для определения чего-то одного.</w:t>
      </w:r>
    </w:p>
    <w:p w:rsidR="00BF7FBC" w:rsidRDefault="00BF7FBC" w:rsidP="00BF7FBC">
      <w:pPr>
        <w:pStyle w:val="Zv-bodyreport"/>
      </w:pPr>
      <w:r>
        <w:t xml:space="preserve">Другой метод анализа сигнала рефлектометра был разработан для определения спектра турбулентности и как следствие амплитуды турбулентности </w:t>
      </w:r>
      <w:r w:rsidRPr="00AB2A60">
        <w:t>[5]</w:t>
      </w:r>
      <w:r>
        <w:t xml:space="preserve">. Этот метод основан на связи между спектром турбулентности и спектром возмущения фазы (вызванной турбулентностью) волны, данная связь была описана в приближении Борна </w:t>
      </w:r>
      <w:r w:rsidRPr="00792567">
        <w:t>[6]</w:t>
      </w:r>
      <w:r>
        <w:t>. Предполагая, что основной вклад в рассеянное излучение происходит в области отсечки, теорема Парсеваля позволяет определить как уровень турбулентности, так и ее профиль.</w:t>
      </w:r>
    </w:p>
    <w:p w:rsidR="00BF7FBC" w:rsidRPr="00465F52" w:rsidRDefault="00BF7FBC" w:rsidP="00BF7FBC">
      <w:pPr>
        <w:pStyle w:val="Zv-bodyreport"/>
      </w:pPr>
      <w:r>
        <w:t>В данной работе предлагается объединить эти два метода анализа данных сигнала рефлектометра для определения двух характеристик турбулентности, а именно ее амплитуды и радиальной корреляционной длины, в условиях нелинейного режима рефлектометрии. В качестве первого шага к практической реализации этой идеи мы выполнили численное моделирование рефлектометрического эксперимента и применили эти два способа обработки сигнала одновременно. На основе двумерной симуляции РКР эксперимента продемонстрированно, что такой подход позволяет определить одновременно амплитуду турбулентности и ее радиальную корреляционную длину.</w:t>
      </w:r>
    </w:p>
    <w:p w:rsidR="00BF7FBC" w:rsidRPr="00465F52" w:rsidRDefault="00BF7FBC" w:rsidP="00BF7FBC">
      <w:pPr>
        <w:pStyle w:val="Zv-bodyreport"/>
        <w:spacing w:before="120"/>
      </w:pPr>
      <w:r>
        <w:t xml:space="preserve">Численной анализ в этой работе выполнен при поддержке гранта </w:t>
      </w:r>
      <w:r w:rsidRPr="00AD03B9">
        <w:t>РНФ</w:t>
      </w:r>
      <w:r>
        <w:t xml:space="preserve"> </w:t>
      </w:r>
      <w:r w:rsidRPr="00465F52">
        <w:t>22-12-00010</w:t>
      </w:r>
      <w:r>
        <w:t>.</w:t>
      </w:r>
    </w:p>
    <w:p w:rsidR="00BF7FBC" w:rsidRDefault="00BF7FBC" w:rsidP="00BF7FBC">
      <w:pPr>
        <w:pStyle w:val="Zv-TitleReferences-ru"/>
      </w:pPr>
      <w:r>
        <w:t>Литература</w:t>
      </w:r>
    </w:p>
    <w:p w:rsidR="00BF7FBC" w:rsidRPr="003A6D07" w:rsidRDefault="00BF7FBC" w:rsidP="00BF7FBC">
      <w:pPr>
        <w:pStyle w:val="Zv-References-ru"/>
        <w:numPr>
          <w:ilvl w:val="0"/>
          <w:numId w:val="1"/>
        </w:numPr>
        <w:rPr>
          <w:lang w:val="en-US"/>
        </w:rPr>
      </w:pPr>
      <w:r w:rsidRPr="006B415E">
        <w:rPr>
          <w:lang w:val="en-US"/>
        </w:rPr>
        <w:t xml:space="preserve">I. Hutchinson (1992) </w:t>
      </w:r>
      <w:r w:rsidRPr="006B415E">
        <w:rPr>
          <w:i/>
          <w:lang w:val="en-US"/>
        </w:rPr>
        <w:t xml:space="preserve">Plasma Phys. Control. </w:t>
      </w:r>
      <w:r w:rsidRPr="003A6D07">
        <w:rPr>
          <w:i/>
          <w:lang w:val="en-US"/>
        </w:rPr>
        <w:t>Fusion</w:t>
      </w:r>
      <w:r w:rsidRPr="003A6D07">
        <w:rPr>
          <w:lang w:val="en-US"/>
        </w:rPr>
        <w:t xml:space="preserve"> </w:t>
      </w:r>
      <w:r w:rsidRPr="003A6D07">
        <w:rPr>
          <w:b/>
          <w:lang w:val="en-US"/>
        </w:rPr>
        <w:t>34</w:t>
      </w:r>
      <w:r w:rsidRPr="003A6D07">
        <w:rPr>
          <w:lang w:val="en-US"/>
        </w:rPr>
        <w:t xml:space="preserve"> 1225</w:t>
      </w:r>
    </w:p>
    <w:p w:rsidR="00BF7FBC" w:rsidRDefault="00BF7FBC" w:rsidP="00BF7FBC">
      <w:pPr>
        <w:pStyle w:val="Zv-References-ru"/>
        <w:numPr>
          <w:ilvl w:val="0"/>
          <w:numId w:val="1"/>
        </w:numPr>
      </w:pPr>
      <w:r w:rsidRPr="00F84580">
        <w:rPr>
          <w:lang w:val="en-US"/>
        </w:rPr>
        <w:t xml:space="preserve">E.Z. Gusakov and B.O. Yakovlev (2002) </w:t>
      </w:r>
      <w:r w:rsidRPr="00F84580">
        <w:rPr>
          <w:i/>
          <w:lang w:val="en-US"/>
        </w:rPr>
        <w:t xml:space="preserve">Plasma Phys. </w:t>
      </w:r>
      <w:r w:rsidRPr="00F84580">
        <w:rPr>
          <w:i/>
        </w:rPr>
        <w:t>Control. Fusion</w:t>
      </w:r>
      <w:r w:rsidRPr="00F84580">
        <w:t xml:space="preserve"> </w:t>
      </w:r>
      <w:r w:rsidRPr="00F84580">
        <w:rPr>
          <w:b/>
        </w:rPr>
        <w:t>44</w:t>
      </w:r>
      <w:r w:rsidRPr="00F84580">
        <w:t xml:space="preserve"> 2525</w:t>
      </w:r>
    </w:p>
    <w:p w:rsidR="00BF7FBC" w:rsidRDefault="00BF7FBC" w:rsidP="00BF7FBC">
      <w:pPr>
        <w:pStyle w:val="Zv-References-ru"/>
        <w:numPr>
          <w:ilvl w:val="0"/>
          <w:numId w:val="1"/>
        </w:numPr>
        <w:rPr>
          <w:lang w:val="en-US"/>
        </w:rPr>
      </w:pPr>
      <w:r w:rsidRPr="00EA356B">
        <w:rPr>
          <w:lang w:val="en-US"/>
        </w:rPr>
        <w:t xml:space="preserve">E.Z. Gusakov and A.Yu. Popov (2002) </w:t>
      </w:r>
      <w:r w:rsidRPr="00EA356B">
        <w:rPr>
          <w:i/>
          <w:lang w:val="en-US"/>
        </w:rPr>
        <w:t>Plasma Phys. Control. Fusion</w:t>
      </w:r>
      <w:r w:rsidRPr="00EA356B">
        <w:rPr>
          <w:lang w:val="en-US"/>
        </w:rPr>
        <w:t xml:space="preserve"> </w:t>
      </w:r>
      <w:r w:rsidRPr="00EA356B">
        <w:rPr>
          <w:b/>
          <w:lang w:val="en-US"/>
        </w:rPr>
        <w:t>44</w:t>
      </w:r>
      <w:r w:rsidRPr="00EA356B">
        <w:rPr>
          <w:lang w:val="en-US"/>
        </w:rPr>
        <w:t xml:space="preserve"> 2327-2337</w:t>
      </w:r>
    </w:p>
    <w:p w:rsidR="00BF7FBC" w:rsidRDefault="00BF7FBC" w:rsidP="00BF7FBC">
      <w:pPr>
        <w:pStyle w:val="Zv-References-ru"/>
        <w:numPr>
          <w:ilvl w:val="0"/>
          <w:numId w:val="1"/>
        </w:numPr>
        <w:rPr>
          <w:lang w:val="en-US"/>
        </w:rPr>
      </w:pPr>
      <w:r w:rsidRPr="00EA356B">
        <w:rPr>
          <w:lang w:val="en-US"/>
        </w:rPr>
        <w:t xml:space="preserve">E.Z. Gusakov and A.Yu. Popov (2004) </w:t>
      </w:r>
      <w:r w:rsidRPr="00EA356B">
        <w:rPr>
          <w:i/>
          <w:lang w:val="en-US"/>
        </w:rPr>
        <w:t>Plasma Phys. Control. Fusion</w:t>
      </w:r>
      <w:r w:rsidRPr="00EA356B">
        <w:rPr>
          <w:lang w:val="en-US"/>
        </w:rPr>
        <w:t xml:space="preserve"> </w:t>
      </w:r>
      <w:r w:rsidRPr="00EA356B">
        <w:rPr>
          <w:b/>
          <w:lang w:val="en-US"/>
        </w:rPr>
        <w:t>46</w:t>
      </w:r>
      <w:r w:rsidRPr="00EA356B">
        <w:rPr>
          <w:lang w:val="en-US"/>
        </w:rPr>
        <w:t xml:space="preserve"> 1393-1408</w:t>
      </w:r>
    </w:p>
    <w:p w:rsidR="00BF7FBC" w:rsidRDefault="00BF7FBC" w:rsidP="00BF7FBC">
      <w:pPr>
        <w:pStyle w:val="Zv-References-ru"/>
        <w:numPr>
          <w:ilvl w:val="0"/>
          <w:numId w:val="1"/>
        </w:numPr>
        <w:rPr>
          <w:lang w:val="en-US"/>
        </w:rPr>
      </w:pPr>
      <w:r w:rsidRPr="00B81F8A">
        <w:rPr>
          <w:lang w:val="en-US"/>
        </w:rPr>
        <w:t xml:space="preserve">S. Heuraux et al (2003) </w:t>
      </w:r>
      <w:r w:rsidRPr="00B81F8A">
        <w:rPr>
          <w:i/>
          <w:lang w:val="en-US"/>
        </w:rPr>
        <w:t>Rev. Sci. Instrum.</w:t>
      </w:r>
      <w:r w:rsidRPr="00B81F8A">
        <w:rPr>
          <w:lang w:val="en-US"/>
        </w:rPr>
        <w:t xml:space="preserve"> </w:t>
      </w:r>
      <w:r w:rsidRPr="00B81F8A">
        <w:rPr>
          <w:b/>
          <w:lang w:val="en-US"/>
        </w:rPr>
        <w:t>74</w:t>
      </w:r>
      <w:r w:rsidRPr="00B81F8A">
        <w:rPr>
          <w:lang w:val="en-US"/>
        </w:rPr>
        <w:t xml:space="preserve"> 1501</w:t>
      </w:r>
    </w:p>
    <w:p w:rsidR="00BF7FBC" w:rsidRPr="00B81F8A" w:rsidRDefault="00BF7FBC" w:rsidP="00BF7FBC">
      <w:pPr>
        <w:pStyle w:val="Zv-References-ru"/>
        <w:numPr>
          <w:ilvl w:val="0"/>
          <w:numId w:val="1"/>
        </w:numPr>
        <w:rPr>
          <w:lang w:val="en-US"/>
        </w:rPr>
      </w:pPr>
      <w:r w:rsidRPr="00B81F8A">
        <w:rPr>
          <w:lang w:val="en-US"/>
        </w:rPr>
        <w:t xml:space="preserve">C. Fanack et al (1996) </w:t>
      </w:r>
      <w:r w:rsidRPr="00B81F8A">
        <w:rPr>
          <w:i/>
          <w:lang w:val="en-US"/>
        </w:rPr>
        <w:t>Plasma Phys. Cont. Fusion</w:t>
      </w:r>
      <w:r w:rsidRPr="00B81F8A">
        <w:rPr>
          <w:lang w:val="en-US"/>
        </w:rPr>
        <w:t xml:space="preserve"> </w:t>
      </w:r>
      <w:r w:rsidRPr="00B81F8A">
        <w:rPr>
          <w:b/>
          <w:lang w:val="en-US"/>
        </w:rPr>
        <w:t>38</w:t>
      </w:r>
      <w:r w:rsidRPr="00B81F8A">
        <w:rPr>
          <w:lang w:val="en-US"/>
        </w:rPr>
        <w:t xml:space="preserve"> 1915</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A5" w:rsidRDefault="000330A5">
      <w:r>
        <w:separator/>
      </w:r>
    </w:p>
  </w:endnote>
  <w:endnote w:type="continuationSeparator" w:id="0">
    <w:p w:rsidR="000330A5" w:rsidRDefault="00033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2D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833B46" w:rsidRDefault="00833B46" w:rsidP="00654A7B">
    <w:pPr>
      <w:pStyle w:val="a4"/>
      <w:framePr w:wrap="around" w:vAnchor="text" w:hAnchor="margin" w:xAlign="center" w:y="1"/>
      <w:rPr>
        <w:rStyle w:val="a5"/>
        <w:lang w:val="en-US"/>
      </w:rPr>
    </w:pPr>
    <w:r>
      <w:rPr>
        <w:rStyle w:val="a5"/>
        <w:lang w:val="en-US"/>
      </w:rPr>
      <w:t>65</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A5" w:rsidRDefault="000330A5">
      <w:r>
        <w:separator/>
      </w:r>
    </w:p>
  </w:footnote>
  <w:footnote w:type="continuationSeparator" w:id="0">
    <w:p w:rsidR="000330A5" w:rsidRDefault="000330A5">
      <w:r>
        <w:continuationSeparator/>
      </w:r>
    </w:p>
  </w:footnote>
  <w:footnote w:id="1">
    <w:p w:rsidR="00A31B26" w:rsidRPr="00A31B26" w:rsidRDefault="00A31B26">
      <w:pPr>
        <w:pStyle w:val="a8"/>
        <w:rPr>
          <w:lang w:val="en-US"/>
        </w:rPr>
      </w:pPr>
      <w:r>
        <w:rPr>
          <w:rStyle w:val="aa"/>
        </w:rPr>
        <w:t>*)</w:t>
      </w:r>
      <w:r>
        <w:t xml:space="preserve"> </w:t>
      </w:r>
      <w:hyperlink r:id="rId1" w:history="1">
        <w:r w:rsidRPr="00A31B26">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BF7FBC">
      <w:rPr>
        <w:sz w:val="20"/>
      </w:rPr>
      <w:t>20</w:t>
    </w:r>
    <w:r w:rsidR="00C62CFE">
      <w:rPr>
        <w:sz w:val="20"/>
      </w:rPr>
      <w:t xml:space="preserve"> – </w:t>
    </w:r>
    <w:r w:rsidR="00700C3A" w:rsidRPr="00BF7FBC">
      <w:rPr>
        <w:sz w:val="20"/>
      </w:rPr>
      <w:t>2</w:t>
    </w:r>
    <w:r w:rsidR="00577A8A" w:rsidRPr="00BF7FBC">
      <w:rPr>
        <w:sz w:val="20"/>
      </w:rPr>
      <w:t>4</w:t>
    </w:r>
    <w:r w:rsidR="00C62CFE">
      <w:rPr>
        <w:sz w:val="20"/>
      </w:rPr>
      <w:t xml:space="preserve"> марта 20</w:t>
    </w:r>
    <w:r w:rsidR="00C62CFE" w:rsidRPr="00BF7FBC">
      <w:rPr>
        <w:sz w:val="20"/>
      </w:rPr>
      <w:t>2</w:t>
    </w:r>
    <w:r w:rsidR="00700C3A" w:rsidRPr="00BF7FBC">
      <w:rPr>
        <w:sz w:val="20"/>
      </w:rPr>
      <w:t>3</w:t>
    </w:r>
    <w:r w:rsidR="00C62CFE">
      <w:rPr>
        <w:sz w:val="20"/>
      </w:rPr>
      <w:t xml:space="preserve"> г.</w:t>
    </w:r>
  </w:p>
  <w:p w:rsidR="00654A7B" w:rsidRDefault="001C2DB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330A5"/>
    <w:rsid w:val="000330A5"/>
    <w:rsid w:val="00037DCC"/>
    <w:rsid w:val="00043701"/>
    <w:rsid w:val="000C7078"/>
    <w:rsid w:val="000D76E9"/>
    <w:rsid w:val="000E495B"/>
    <w:rsid w:val="00140645"/>
    <w:rsid w:val="00171964"/>
    <w:rsid w:val="001C0CCB"/>
    <w:rsid w:val="001C2DB6"/>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33B46"/>
    <w:rsid w:val="008E2894"/>
    <w:rsid w:val="008E7F9A"/>
    <w:rsid w:val="009352E6"/>
    <w:rsid w:val="0094721E"/>
    <w:rsid w:val="009551FC"/>
    <w:rsid w:val="00A31B26"/>
    <w:rsid w:val="00A66876"/>
    <w:rsid w:val="00A71613"/>
    <w:rsid w:val="00AB3459"/>
    <w:rsid w:val="00AD7670"/>
    <w:rsid w:val="00B622ED"/>
    <w:rsid w:val="00B9584E"/>
    <w:rsid w:val="00BD05EF"/>
    <w:rsid w:val="00BF7FBC"/>
    <w:rsid w:val="00C103CD"/>
    <w:rsid w:val="00C232A0"/>
    <w:rsid w:val="00C62CFE"/>
    <w:rsid w:val="00C80EC3"/>
    <w:rsid w:val="00CA791E"/>
    <w:rsid w:val="00CD22CF"/>
    <w:rsid w:val="00CE0E75"/>
    <w:rsid w:val="00D47F19"/>
    <w:rsid w:val="00DA4715"/>
    <w:rsid w:val="00DE16AD"/>
    <w:rsid w:val="00DF1C1D"/>
    <w:rsid w:val="00DF6D4D"/>
    <w:rsid w:val="00E1331D"/>
    <w:rsid w:val="00E40D41"/>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F7FBC"/>
    <w:rPr>
      <w:color w:val="0000FF" w:themeColor="hyperlink"/>
      <w:u w:val="single"/>
    </w:rPr>
  </w:style>
  <w:style w:type="character" w:customStyle="1" w:styleId="Zv-bodyreportChar">
    <w:name w:val="Zv-body_report Char"/>
    <w:link w:val="Zv-bodyreport"/>
    <w:locked/>
    <w:rsid w:val="00BF7FBC"/>
    <w:rPr>
      <w:sz w:val="24"/>
      <w:szCs w:val="24"/>
    </w:rPr>
  </w:style>
  <w:style w:type="paragraph" w:styleId="a8">
    <w:name w:val="footnote text"/>
    <w:basedOn w:val="a"/>
    <w:link w:val="a9"/>
    <w:rsid w:val="00A31B26"/>
    <w:rPr>
      <w:sz w:val="20"/>
      <w:szCs w:val="20"/>
    </w:rPr>
  </w:style>
  <w:style w:type="character" w:customStyle="1" w:styleId="a9">
    <w:name w:val="Текст сноски Знак"/>
    <w:basedOn w:val="a0"/>
    <w:link w:val="a8"/>
    <w:rsid w:val="00A31B26"/>
  </w:style>
  <w:style w:type="character" w:styleId="aa">
    <w:name w:val="footnote reference"/>
    <w:basedOn w:val="a0"/>
    <w:rsid w:val="00A31B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il.ioff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jl-communication@univ-lorraine.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BC-Tretinni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0C45B-EEC8-4C34-917D-F44A4AE4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5</TotalTime>
  <Pages>1</Pages>
  <Words>389</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ОПРЕДЕЛЕНИЕ ХАРАКТЕРИСТИК ТУРБУЛЕНТНОСТИ В НЕЛИНЕЙНОМ РЕЖИМЕ РЕФЛЕКТОМЕТРИИ</dc:title>
  <dc:creator/>
  <cp:lastModifiedBy>Сатунин</cp:lastModifiedBy>
  <cp:revision>3</cp:revision>
  <cp:lastPrinted>1601-01-01T00:00:00Z</cp:lastPrinted>
  <dcterms:created xsi:type="dcterms:W3CDTF">2023-02-14T20:56:00Z</dcterms:created>
  <dcterms:modified xsi:type="dcterms:W3CDTF">2023-05-10T12:25:00Z</dcterms:modified>
</cp:coreProperties>
</file>